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8941" w14:textId="3A463169" w:rsidR="00B273FE" w:rsidRDefault="00772C47" w:rsidP="00632C9B">
      <w:pPr>
        <w:jc w:val="center"/>
        <w:rPr>
          <w:b/>
          <w:sz w:val="28"/>
        </w:rPr>
      </w:pPr>
      <w:r>
        <w:rPr>
          <w:b/>
          <w:sz w:val="28"/>
        </w:rPr>
        <w:t>Politics of Protest</w:t>
      </w:r>
      <w:r w:rsidR="00B273FE">
        <w:rPr>
          <w:b/>
          <w:sz w:val="28"/>
        </w:rPr>
        <w:t xml:space="preserve"> in Europe and Eurasia</w:t>
      </w:r>
    </w:p>
    <w:p w14:paraId="125CA21E" w14:textId="68BB6118" w:rsidR="001B2C27" w:rsidRDefault="00253E8A" w:rsidP="00632C9B">
      <w:pPr>
        <w:spacing w:before="77"/>
        <w:jc w:val="center"/>
        <w:rPr>
          <w:b/>
          <w:sz w:val="28"/>
        </w:rPr>
      </w:pPr>
      <w:r>
        <w:rPr>
          <w:b/>
          <w:sz w:val="28"/>
        </w:rPr>
        <w:t>710.707</w:t>
      </w:r>
    </w:p>
    <w:p w14:paraId="06C4155F" w14:textId="77777777" w:rsidR="001B2C27" w:rsidRDefault="001B2C27" w:rsidP="00632C9B">
      <w:pPr>
        <w:pStyle w:val="BodyText"/>
        <w:spacing w:before="8"/>
        <w:rPr>
          <w:b/>
          <w:sz w:val="23"/>
        </w:rPr>
      </w:pPr>
    </w:p>
    <w:p w14:paraId="1A9DF264" w14:textId="77777777" w:rsidR="003266BC" w:rsidRDefault="00260FA6" w:rsidP="00632C9B">
      <w:pPr>
        <w:pStyle w:val="BodyText"/>
        <w:jc w:val="center"/>
      </w:pPr>
      <w:r>
        <w:t xml:space="preserve">Prof. </w:t>
      </w:r>
      <w:proofErr w:type="spellStart"/>
      <w:r>
        <w:t>Lisel</w:t>
      </w:r>
      <w:proofErr w:type="spellEnd"/>
      <w:r>
        <w:t xml:space="preserve"> Hintz </w:t>
      </w:r>
    </w:p>
    <w:p w14:paraId="2B748108" w14:textId="015AFCB9" w:rsidR="001B2C27" w:rsidRDefault="00260FA6" w:rsidP="00632C9B">
      <w:pPr>
        <w:pStyle w:val="BodyText"/>
        <w:jc w:val="center"/>
      </w:pPr>
      <w:r>
        <w:t>Spring 202</w:t>
      </w:r>
      <w:r w:rsidR="007A5AB3">
        <w:t>2</w:t>
      </w:r>
    </w:p>
    <w:p w14:paraId="2F86C721" w14:textId="77777777" w:rsidR="001B2C27" w:rsidRDefault="001B2C27" w:rsidP="00632C9B">
      <w:pPr>
        <w:pStyle w:val="BodyText"/>
        <w:jc w:val="center"/>
      </w:pPr>
    </w:p>
    <w:p w14:paraId="609211CE" w14:textId="77777777" w:rsidR="001B2C27" w:rsidRDefault="00253E8A" w:rsidP="00632C9B">
      <w:pPr>
        <w:pStyle w:val="BodyText"/>
        <w:jc w:val="center"/>
      </w:pPr>
      <w:r>
        <w:t>Johns Hopkins University</w:t>
      </w:r>
    </w:p>
    <w:p w14:paraId="5EC1FD5A" w14:textId="77777777" w:rsidR="001B2C27" w:rsidRDefault="00253E8A" w:rsidP="00632C9B">
      <w:pPr>
        <w:pStyle w:val="BodyText"/>
        <w:jc w:val="center"/>
      </w:pPr>
      <w:r>
        <w:t>School of Advanced International Studies</w:t>
      </w:r>
    </w:p>
    <w:p w14:paraId="532146A7" w14:textId="77777777" w:rsidR="001B2C27" w:rsidRDefault="001B2C27" w:rsidP="00632C9B">
      <w:pPr>
        <w:pStyle w:val="BodyText"/>
        <w:jc w:val="center"/>
        <w:rPr>
          <w:sz w:val="26"/>
        </w:rPr>
      </w:pPr>
    </w:p>
    <w:p w14:paraId="3EA05028" w14:textId="77777777" w:rsidR="001B2C27" w:rsidRDefault="001B2C27" w:rsidP="00632C9B">
      <w:pPr>
        <w:pStyle w:val="BodyText"/>
        <w:jc w:val="center"/>
        <w:rPr>
          <w:sz w:val="22"/>
        </w:rPr>
      </w:pPr>
    </w:p>
    <w:p w14:paraId="272FE00E" w14:textId="7C41F0B3" w:rsidR="001B2C27" w:rsidRDefault="003D18EE" w:rsidP="00632C9B">
      <w:pPr>
        <w:pStyle w:val="BodyText"/>
        <w:jc w:val="center"/>
      </w:pPr>
      <w:r>
        <w:t xml:space="preserve">Email: </w:t>
      </w:r>
      <w:r w:rsidR="00253E8A">
        <w:t>Lhintz1@jhu.edu</w:t>
      </w:r>
    </w:p>
    <w:p w14:paraId="2A4B959E" w14:textId="0C432F6A" w:rsidR="00592F38" w:rsidRPr="003D18EE" w:rsidRDefault="00592F38" w:rsidP="00632C9B">
      <w:pPr>
        <w:pStyle w:val="BodyText"/>
        <w:jc w:val="center"/>
      </w:pPr>
      <w:r>
        <w:t xml:space="preserve">Class Hours: </w:t>
      </w:r>
      <w:r w:rsidRPr="003D18EE">
        <w:t>Wednesdays 2:30 – 5:00pm</w:t>
      </w:r>
      <w:r w:rsidR="008917F0">
        <w:t xml:space="preserve"> in Rome #205</w:t>
      </w:r>
    </w:p>
    <w:p w14:paraId="6DE0A946" w14:textId="2B41829A" w:rsidR="003D18EE" w:rsidRPr="003D18EE" w:rsidRDefault="00253E8A" w:rsidP="00632C9B">
      <w:pPr>
        <w:pStyle w:val="BodyText"/>
        <w:jc w:val="center"/>
      </w:pPr>
      <w:r w:rsidRPr="003D18EE">
        <w:t xml:space="preserve">Office Hours: </w:t>
      </w:r>
      <w:r w:rsidR="00592F38" w:rsidRPr="003D18EE">
        <w:t>Mondays</w:t>
      </w:r>
      <w:r w:rsidR="00E85325" w:rsidRPr="003D18EE">
        <w:t xml:space="preserve"> 2:00–5</w:t>
      </w:r>
      <w:r w:rsidR="00772C47" w:rsidRPr="003D18EE">
        <w:t xml:space="preserve">:00pm and by </w:t>
      </w:r>
      <w:r w:rsidRPr="003D18EE">
        <w:t>appointment</w:t>
      </w:r>
      <w:r w:rsidR="00EB7971">
        <w:t>,</w:t>
      </w:r>
      <w:r w:rsidR="003D18EE" w:rsidRPr="003D18EE">
        <w:t xml:space="preserve"> in-person or via Zoom</w:t>
      </w:r>
    </w:p>
    <w:p w14:paraId="466C3DD5" w14:textId="3BB41B67" w:rsidR="00772C47" w:rsidRPr="003D18EE" w:rsidRDefault="003D18EE" w:rsidP="00632C9B">
      <w:pPr>
        <w:jc w:val="center"/>
      </w:pPr>
      <w:r w:rsidRPr="003D18EE">
        <w:t xml:space="preserve">Zoom office hours link: </w:t>
      </w:r>
      <w:r w:rsidRPr="003D18EE">
        <w:rPr>
          <w:color w:val="232333"/>
          <w:shd w:val="clear" w:color="auto" w:fill="FFFFFF"/>
        </w:rPr>
        <w:t>https://jh.zoom.us/j/2026635795</w:t>
      </w:r>
    </w:p>
    <w:p w14:paraId="72B34489" w14:textId="02595201" w:rsidR="001B2C27" w:rsidRPr="003D18EE" w:rsidRDefault="003D18EE" w:rsidP="00632C9B">
      <w:pPr>
        <w:pStyle w:val="BodyText"/>
        <w:jc w:val="center"/>
      </w:pPr>
      <w:r>
        <w:t xml:space="preserve">Office: </w:t>
      </w:r>
      <w:r w:rsidR="00253E8A" w:rsidRPr="003D18EE">
        <w:t>#523 Rome Building</w:t>
      </w:r>
    </w:p>
    <w:p w14:paraId="62593899" w14:textId="77777777" w:rsidR="001B2C27" w:rsidRDefault="001B2C27" w:rsidP="00632C9B">
      <w:pPr>
        <w:pStyle w:val="BodyText"/>
        <w:rPr>
          <w:sz w:val="26"/>
        </w:rPr>
      </w:pPr>
    </w:p>
    <w:p w14:paraId="13DD371A" w14:textId="77777777" w:rsidR="001B2C27" w:rsidRDefault="001B2C27" w:rsidP="00632C9B">
      <w:pPr>
        <w:pStyle w:val="BodyText"/>
        <w:spacing w:before="5"/>
        <w:rPr>
          <w:sz w:val="22"/>
        </w:rPr>
      </w:pPr>
    </w:p>
    <w:p w14:paraId="28979B0A" w14:textId="77777777" w:rsidR="001B2C27" w:rsidRDefault="00253E8A" w:rsidP="00632C9B">
      <w:pPr>
        <w:pStyle w:val="Heading1"/>
        <w:ind w:left="0"/>
      </w:pPr>
      <w:r>
        <w:t>COURSE DESCRIPTION</w:t>
      </w:r>
    </w:p>
    <w:p w14:paraId="5B23AA1E" w14:textId="77777777" w:rsidR="001B2C27" w:rsidRDefault="001B2C27" w:rsidP="00632C9B">
      <w:pPr>
        <w:pStyle w:val="BodyText"/>
        <w:spacing w:before="6"/>
        <w:rPr>
          <w:b/>
          <w:sz w:val="23"/>
        </w:rPr>
      </w:pPr>
    </w:p>
    <w:p w14:paraId="024238CA" w14:textId="4EA0DFBA" w:rsidR="001B2C27" w:rsidRDefault="00253E8A" w:rsidP="00632C9B">
      <w:pPr>
        <w:pStyle w:val="BodyText"/>
        <w:spacing w:before="1"/>
        <w:jc w:val="both"/>
      </w:pPr>
      <w:r>
        <w:t>This class provides students with an in-depth exploration of the motivations behind, strategies of, and societal changes produced by various instances of collective mobilization across Europe</w:t>
      </w:r>
      <w:r w:rsidR="004F489B">
        <w:t xml:space="preserve"> and Eurasia</w:t>
      </w:r>
      <w:r>
        <w:t xml:space="preserve">. Some of the main questions we seek to answer throughout this course are: Along what lines of grievance do social movements form? Why do people choose to participate in collective mobilization given threats of reprisal by the state apparatus? Under what conditions do </w:t>
      </w:r>
      <w:r w:rsidR="00B71950">
        <w:t>protests</w:t>
      </w:r>
      <w:r>
        <w:t xml:space="preserve"> succeed and fail? </w:t>
      </w:r>
      <w:r w:rsidR="004F489B">
        <w:t xml:space="preserve">What role does violence play in these outcomes? </w:t>
      </w:r>
      <w:r>
        <w:t xml:space="preserve">What explains the rise </w:t>
      </w:r>
      <w:r w:rsidR="004F489B">
        <w:t>of</w:t>
      </w:r>
      <w:r>
        <w:t xml:space="preserve"> far-right </w:t>
      </w:r>
      <w:r w:rsidR="004F489B">
        <w:t>movements</w:t>
      </w:r>
      <w:r>
        <w:t xml:space="preserve"> in Europe’s most democratic countries? Thinking comparatively, </w:t>
      </w:r>
      <w:r w:rsidR="0053772C">
        <w:t>we consider</w:t>
      </w:r>
      <w:r>
        <w:t xml:space="preserve"> </w:t>
      </w:r>
      <w:r w:rsidR="0053772C">
        <w:t>whether</w:t>
      </w:r>
      <w:r>
        <w:t xml:space="preserve"> conditions from particular movements be generalized to a wider universe of cases</w:t>
      </w:r>
      <w:r w:rsidR="0053772C">
        <w:t>.</w:t>
      </w:r>
      <w:r>
        <w:t xml:space="preserve"> </w:t>
      </w:r>
      <w:r w:rsidR="004F489B">
        <w:t>C</w:t>
      </w:r>
      <w:r>
        <w:t xml:space="preserve">an studying </w:t>
      </w:r>
      <w:r w:rsidR="0053772C">
        <w:t xml:space="preserve">“leaderless” </w:t>
      </w:r>
      <w:r w:rsidR="007170AA">
        <w:t xml:space="preserve">anti-government </w:t>
      </w:r>
      <w:r w:rsidR="0053772C">
        <w:t>protests in Turkey</w:t>
      </w:r>
      <w:r w:rsidR="004F489B">
        <w:t xml:space="preserve"> help us </w:t>
      </w:r>
      <w:r w:rsidR="0053772C">
        <w:t>understand youth movements in Spain</w:t>
      </w:r>
      <w:r>
        <w:t>? Do protest</w:t>
      </w:r>
      <w:r w:rsidR="004F489B">
        <w:t xml:space="preserve"> dynamics</w:t>
      </w:r>
      <w:r>
        <w:t xml:space="preserve"> in Europe </w:t>
      </w:r>
      <w:r w:rsidR="007170AA">
        <w:t xml:space="preserve">and Eurasia </w:t>
      </w:r>
      <w:r>
        <w:t>differ from elsewhere in the</w:t>
      </w:r>
      <w:r>
        <w:rPr>
          <w:spacing w:val="-3"/>
        </w:rPr>
        <w:t xml:space="preserve"> </w:t>
      </w:r>
      <w:r>
        <w:t>world?</w:t>
      </w:r>
    </w:p>
    <w:p w14:paraId="41894279" w14:textId="77777777" w:rsidR="001B2C27" w:rsidRDefault="001B2C27" w:rsidP="00632C9B">
      <w:pPr>
        <w:pStyle w:val="BodyText"/>
      </w:pPr>
    </w:p>
    <w:p w14:paraId="16AC219B" w14:textId="22EC4DF7" w:rsidR="001B2C27" w:rsidRDefault="00253E8A" w:rsidP="00632C9B">
      <w:pPr>
        <w:pStyle w:val="BodyText"/>
        <w:jc w:val="both"/>
        <w:sectPr w:rsidR="001B2C27">
          <w:footerReference w:type="default" r:id="rId7"/>
          <w:type w:val="continuous"/>
          <w:pgSz w:w="12240" w:h="15840"/>
          <w:pgMar w:top="1360" w:right="1620" w:bottom="980" w:left="1680" w:header="720" w:footer="791" w:gutter="0"/>
          <w:pgNumType w:start="1"/>
          <w:cols w:space="720"/>
        </w:sectPr>
      </w:pPr>
      <w:r>
        <w:t xml:space="preserve">By examining a wide variety of movements across </w:t>
      </w:r>
      <w:r w:rsidR="004F489B">
        <w:t>the region</w:t>
      </w:r>
      <w:r>
        <w:t xml:space="preserve">, from labor mobilizations such as Solidarity to ethnic nationalist campaigns by groups such as the Basques and the Kurds, we use comparative analysis to identify points of convergence and divergence across cases. We explore how mobilization strategies spill across borders in “waves” of protest, such as those prefacing the collapse of the Soviet Union. We also study how movement leaders “learn” what works and what doesn’t from previous incidents of collective protest, such as how those involved Serbia’s </w:t>
      </w:r>
      <w:proofErr w:type="spellStart"/>
      <w:r>
        <w:rPr>
          <w:i/>
        </w:rPr>
        <w:t>Otpor</w:t>
      </w:r>
      <w:proofErr w:type="spellEnd"/>
      <w:r>
        <w:t>! (Resistance!) campaign</w:t>
      </w:r>
      <w:r w:rsidR="0053772C">
        <w:t xml:space="preserve"> “taught” activists in Georgia, Ukraine, and Kyrgyzstan</w:t>
      </w:r>
      <w:r>
        <w:t xml:space="preserve">. We investigate how developments in media and technology affect protest </w:t>
      </w:r>
      <w:r w:rsidR="0053772C">
        <w:t>participation</w:t>
      </w:r>
      <w:r w:rsidR="007170AA">
        <w:t>, visibility,</w:t>
      </w:r>
      <w:r w:rsidR="0053772C">
        <w:t xml:space="preserve"> and </w:t>
      </w:r>
      <w:r>
        <w:t>outcomes. A</w:t>
      </w:r>
      <w:r w:rsidR="007170AA">
        <w:t xml:space="preserve">n additional </w:t>
      </w:r>
      <w:r>
        <w:t>focus will be on the international causes and effects of otherwise national movements, such as how anti-EU and anti-immigrant beliefs were stoked in Brexit campaign</w:t>
      </w:r>
      <w:r w:rsidR="00B71950">
        <w:t xml:space="preserve">, and how foreign governments intervene in </w:t>
      </w:r>
      <w:r w:rsidR="00D847C6">
        <w:t>protests</w:t>
      </w:r>
      <w:r>
        <w:t>. Students will gain both empirical insights into particular cases across Europe</w:t>
      </w:r>
      <w:r w:rsidR="004F489B">
        <w:t xml:space="preserve"> and Eurasia</w:t>
      </w:r>
      <w:r>
        <w:t xml:space="preserve"> as well as the conceptual tools used by scholars of comparative politics to answer puzzling but highly topical questions</w:t>
      </w:r>
      <w:r w:rsidR="007170AA">
        <w:t xml:space="preserve"> such as</w:t>
      </w:r>
      <w:r>
        <w:t xml:space="preserve"> </w:t>
      </w:r>
      <w:r w:rsidR="00B71950">
        <w:t xml:space="preserve">those </w:t>
      </w:r>
      <w:r>
        <w:t>above</w:t>
      </w:r>
      <w:r w:rsidR="003266BC">
        <w:t>.</w:t>
      </w:r>
    </w:p>
    <w:p w14:paraId="64920143" w14:textId="77777777" w:rsidR="001B2C27" w:rsidRDefault="001B2C27" w:rsidP="00632C9B">
      <w:pPr>
        <w:pStyle w:val="BodyText"/>
        <w:spacing w:before="10"/>
        <w:rPr>
          <w:sz w:val="10"/>
        </w:rPr>
      </w:pPr>
    </w:p>
    <w:p w14:paraId="50474BE5" w14:textId="77777777" w:rsidR="001B2C27" w:rsidRDefault="00253E8A" w:rsidP="00632C9B">
      <w:pPr>
        <w:pStyle w:val="Heading1"/>
        <w:spacing w:before="90"/>
        <w:ind w:left="0"/>
      </w:pPr>
      <w:r>
        <w:t>Student Learning Outcomes</w:t>
      </w:r>
    </w:p>
    <w:p w14:paraId="5A3760E3" w14:textId="77777777" w:rsidR="001B2C27" w:rsidRDefault="00253E8A" w:rsidP="00632C9B">
      <w:pPr>
        <w:pStyle w:val="BodyText"/>
      </w:pPr>
      <w:r>
        <w:t>Students who complete this course successfully will be able to:</w:t>
      </w:r>
    </w:p>
    <w:p w14:paraId="198CD65C" w14:textId="5FD9CD75" w:rsidR="001B2C27" w:rsidRDefault="00253E8A" w:rsidP="00632C9B">
      <w:pPr>
        <w:pStyle w:val="BodyText"/>
      </w:pPr>
      <w:r>
        <w:t>*Demonstrate knowledge of academic and policy debates about a variety of key issues related to causes and consequences of collective mobilization</w:t>
      </w:r>
    </w:p>
    <w:p w14:paraId="4B083E7E" w14:textId="7DF9440A" w:rsidR="001B2C27" w:rsidRDefault="00253E8A" w:rsidP="00632C9B">
      <w:pPr>
        <w:pStyle w:val="BodyText"/>
      </w:pPr>
      <w:r>
        <w:t xml:space="preserve">*Demonstrate empirical knowledge of cases of </w:t>
      </w:r>
      <w:r w:rsidR="00D847C6">
        <w:t>protest</w:t>
      </w:r>
      <w:r>
        <w:t xml:space="preserve"> across a variety of European countries</w:t>
      </w:r>
    </w:p>
    <w:p w14:paraId="16525506" w14:textId="77777777" w:rsidR="001B2C27" w:rsidRDefault="00253E8A" w:rsidP="00632C9B">
      <w:pPr>
        <w:pStyle w:val="BodyText"/>
      </w:pPr>
      <w:r>
        <w:t>*Identify various motivations behind individuals’ decision to participate in collective mobilization despite threat of retribution</w:t>
      </w:r>
    </w:p>
    <w:p w14:paraId="6F947436" w14:textId="77777777" w:rsidR="001B2C27" w:rsidRDefault="00253E8A" w:rsidP="00632C9B">
      <w:pPr>
        <w:pStyle w:val="BodyText"/>
      </w:pPr>
      <w:r>
        <w:t>*Identify factors that shape regime responses to mobilization</w:t>
      </w:r>
    </w:p>
    <w:p w14:paraId="2D3B1BD4" w14:textId="77777777" w:rsidR="001B2C27" w:rsidRDefault="00253E8A" w:rsidP="00632C9B">
      <w:pPr>
        <w:pStyle w:val="BodyText"/>
      </w:pPr>
      <w:r>
        <w:t>*Assess the role of popular culture materials as a unique perspective on various motivations for mobilization, locating and analyzing under-studied voices</w:t>
      </w:r>
    </w:p>
    <w:p w14:paraId="4FA7502F" w14:textId="77777777" w:rsidR="001B2C27" w:rsidRDefault="00253E8A" w:rsidP="00632C9B">
      <w:pPr>
        <w:pStyle w:val="BodyText"/>
      </w:pPr>
      <w:r>
        <w:t>*Synthesize facts and arguments across cases in order to reason critically and argue creatively in class discussions and in written assignments</w:t>
      </w:r>
    </w:p>
    <w:p w14:paraId="60BBEF71" w14:textId="1890B4C2" w:rsidR="001B2C27" w:rsidRDefault="00253E8A" w:rsidP="00632C9B">
      <w:pPr>
        <w:pStyle w:val="BodyText"/>
      </w:pPr>
      <w:r>
        <w:t xml:space="preserve">*Find high-quality source material online and in library </w:t>
      </w:r>
      <w:r w:rsidR="000945D1">
        <w:t xml:space="preserve">and other </w:t>
      </w:r>
      <w:r>
        <w:t>sources, and master the art of proper citation</w:t>
      </w:r>
    </w:p>
    <w:p w14:paraId="24DDB01F" w14:textId="60005970" w:rsidR="001B2C27" w:rsidRDefault="00253E8A" w:rsidP="00632C9B">
      <w:pPr>
        <w:pStyle w:val="BodyText"/>
      </w:pPr>
      <w:r>
        <w:t xml:space="preserve">*Design, research, and write an analytical paper of </w:t>
      </w:r>
      <w:r w:rsidR="00592F38">
        <w:t>3</w:t>
      </w:r>
      <w:r>
        <w:t>,000 words that makes a clear, compelling argument about the grievances, structure, mobilization mechanisms, and/or success or failure of a social movement</w:t>
      </w:r>
      <w:r w:rsidR="00D847C6">
        <w:t>/protest</w:t>
      </w:r>
    </w:p>
    <w:p w14:paraId="67BA6894" w14:textId="77777777" w:rsidR="001B2C27" w:rsidRDefault="001B2C27" w:rsidP="00632C9B">
      <w:pPr>
        <w:pStyle w:val="BodyText"/>
        <w:spacing w:before="5"/>
      </w:pPr>
    </w:p>
    <w:p w14:paraId="754AF55E" w14:textId="77777777" w:rsidR="001B2C27" w:rsidRDefault="00253E8A" w:rsidP="00632C9B">
      <w:pPr>
        <w:pStyle w:val="Heading1"/>
        <w:ind w:left="0"/>
      </w:pPr>
      <w:r>
        <w:rPr>
          <w:u w:val="thick"/>
        </w:rPr>
        <w:t>Methods of Assessment</w:t>
      </w:r>
    </w:p>
    <w:p w14:paraId="57B3FDCD" w14:textId="5FA69680" w:rsidR="001B2C27" w:rsidRDefault="00253E8A" w:rsidP="00632C9B">
      <w:pPr>
        <w:pStyle w:val="ListParagraph"/>
        <w:numPr>
          <w:ilvl w:val="0"/>
          <w:numId w:val="1"/>
        </w:numPr>
        <w:tabs>
          <w:tab w:val="left" w:pos="360"/>
        </w:tabs>
        <w:ind w:left="0"/>
        <w:jc w:val="both"/>
        <w:rPr>
          <w:b/>
          <w:sz w:val="24"/>
        </w:rPr>
      </w:pPr>
      <w:r>
        <w:rPr>
          <w:b/>
          <w:sz w:val="24"/>
        </w:rPr>
        <w:t>Attendance and Participation</w:t>
      </w:r>
      <w:r>
        <w:rPr>
          <w:b/>
          <w:spacing w:val="-2"/>
          <w:sz w:val="24"/>
        </w:rPr>
        <w:t xml:space="preserve"> </w:t>
      </w:r>
      <w:r>
        <w:rPr>
          <w:b/>
          <w:sz w:val="24"/>
        </w:rPr>
        <w:t>(</w:t>
      </w:r>
      <w:r w:rsidR="007F7B08">
        <w:rPr>
          <w:b/>
          <w:sz w:val="24"/>
        </w:rPr>
        <w:t>30</w:t>
      </w:r>
      <w:r>
        <w:rPr>
          <w:b/>
          <w:sz w:val="24"/>
        </w:rPr>
        <w:t>%):</w:t>
      </w:r>
    </w:p>
    <w:p w14:paraId="2F1C759E" w14:textId="08FBAA5D" w:rsidR="001B2C27" w:rsidRDefault="00253E8A" w:rsidP="00632C9B">
      <w:pPr>
        <w:pStyle w:val="BodyText"/>
        <w:jc w:val="both"/>
      </w:pPr>
      <w:r>
        <w:t>To facilitate productive discussion and active learning, students are expected to attend all classes</w:t>
      </w:r>
      <w:r w:rsidR="003B3125">
        <w:t>. S</w:t>
      </w:r>
      <w:r>
        <w:t xml:space="preserve">tudents with more than one unexcused absence will receive an automatic deduction in their participation grade. Students are expected to have completed all assigned readings and come prepared with questions, critiques, and topics for discussion and debate. To make the most of this course, students are also expected to familiarize themselves with topical events involving issues of </w:t>
      </w:r>
      <w:r w:rsidR="00592F38">
        <w:t>protest</w:t>
      </w:r>
      <w:r>
        <w:t>, and to be able to raise and critically address these issues as engaged participants. Students will be assessed based on the level and quality of their participation</w:t>
      </w:r>
      <w:r w:rsidR="008A2C61">
        <w:t>.</w:t>
      </w:r>
    </w:p>
    <w:p w14:paraId="71D9078F" w14:textId="77777777" w:rsidR="001B2C27" w:rsidRDefault="001B2C27" w:rsidP="00632C9B">
      <w:pPr>
        <w:pStyle w:val="BodyText"/>
        <w:spacing w:before="3"/>
        <w:jc w:val="both"/>
      </w:pPr>
    </w:p>
    <w:p w14:paraId="2E03FEFF" w14:textId="4BAA0A33" w:rsidR="001B2C27" w:rsidRDefault="000945D1" w:rsidP="00632C9B">
      <w:pPr>
        <w:pStyle w:val="Heading1"/>
        <w:numPr>
          <w:ilvl w:val="0"/>
          <w:numId w:val="1"/>
        </w:numPr>
        <w:tabs>
          <w:tab w:val="left" w:pos="360"/>
        </w:tabs>
        <w:ind w:left="0"/>
        <w:jc w:val="both"/>
      </w:pPr>
      <w:r>
        <w:t>1,5</w:t>
      </w:r>
      <w:r w:rsidR="00253E8A">
        <w:t xml:space="preserve">00-word Short Essay (20%): Due </w:t>
      </w:r>
      <w:r w:rsidR="00E40FA7">
        <w:t>Friday</w:t>
      </w:r>
      <w:r w:rsidR="00253E8A">
        <w:t xml:space="preserve">, </w:t>
      </w:r>
      <w:r w:rsidR="00E40FA7">
        <w:t>Feb 2</w:t>
      </w:r>
      <w:r w:rsidR="00872D26">
        <w:t xml:space="preserve">5 </w:t>
      </w:r>
      <w:r w:rsidR="00253E8A">
        <w:t>by</w:t>
      </w:r>
      <w:r>
        <w:rPr>
          <w:spacing w:val="-6"/>
        </w:rPr>
        <w:t>10</w:t>
      </w:r>
      <w:r w:rsidR="007170AA">
        <w:t>pm</w:t>
      </w:r>
    </w:p>
    <w:p w14:paraId="6A5A54D3" w14:textId="5EB43662" w:rsidR="001B2C27" w:rsidRDefault="00253E8A" w:rsidP="00632C9B">
      <w:pPr>
        <w:pStyle w:val="BodyText"/>
        <w:jc w:val="both"/>
      </w:pPr>
      <w:r>
        <w:t xml:space="preserve">Students will select one of three suggested topics drawn from material covered in the first five weeks of the term. Outside reading can be used but is not necessary; a main goal is </w:t>
      </w:r>
      <w:r w:rsidRPr="00253E8A">
        <w:rPr>
          <w:b/>
        </w:rPr>
        <w:t>actively to engage the class readings</w:t>
      </w:r>
      <w:r>
        <w:t xml:space="preserve"> in these papers. Students will explore their selected topics in a short essay to be submitted via Turnitin on Blackboard. Structure of argument and quality of writing will both factor highly into the grade awarded. Written feedback will be provided for these short essays to assist students in preparing for the longer paper.</w:t>
      </w:r>
    </w:p>
    <w:p w14:paraId="26751AD7" w14:textId="77777777" w:rsidR="001B2C27" w:rsidRDefault="001B2C27" w:rsidP="00632C9B">
      <w:pPr>
        <w:pStyle w:val="BodyText"/>
        <w:spacing w:before="9"/>
        <w:jc w:val="both"/>
        <w:rPr>
          <w:sz w:val="23"/>
        </w:rPr>
      </w:pPr>
    </w:p>
    <w:p w14:paraId="75936B11" w14:textId="0008DC65" w:rsidR="001B2C27" w:rsidRDefault="00253E8A" w:rsidP="00632C9B">
      <w:pPr>
        <w:pStyle w:val="Heading1"/>
        <w:numPr>
          <w:ilvl w:val="0"/>
          <w:numId w:val="1"/>
        </w:numPr>
        <w:tabs>
          <w:tab w:val="left" w:pos="360"/>
        </w:tabs>
        <w:ind w:left="0"/>
        <w:jc w:val="both"/>
      </w:pPr>
      <w:r>
        <w:t xml:space="preserve">1,000-word </w:t>
      </w:r>
      <w:r w:rsidR="002D67D1">
        <w:t>Monkey Cage analysis</w:t>
      </w:r>
      <w:r>
        <w:t xml:space="preserve"> piece (</w:t>
      </w:r>
      <w:r w:rsidR="00683631">
        <w:t>2</w:t>
      </w:r>
      <w:r w:rsidR="007F7B08">
        <w:t>0%</w:t>
      </w:r>
      <w:r>
        <w:t xml:space="preserve">): Due </w:t>
      </w:r>
      <w:r w:rsidR="00274B05">
        <w:t>Friday</w:t>
      </w:r>
      <w:r>
        <w:t xml:space="preserve">, March </w:t>
      </w:r>
      <w:r w:rsidR="008A2C61">
        <w:t>2</w:t>
      </w:r>
      <w:r w:rsidR="00872D26">
        <w:t>5</w:t>
      </w:r>
      <w:r>
        <w:t xml:space="preserve"> by</w:t>
      </w:r>
      <w:r>
        <w:rPr>
          <w:spacing w:val="-6"/>
        </w:rPr>
        <w:t xml:space="preserve"> </w:t>
      </w:r>
      <w:r w:rsidR="000945D1">
        <w:t>10</w:t>
      </w:r>
      <w:r>
        <w:t>pm</w:t>
      </w:r>
    </w:p>
    <w:p w14:paraId="374D7C55" w14:textId="00C8550A" w:rsidR="001B2C27" w:rsidRDefault="00274B05" w:rsidP="00632C9B">
      <w:pPr>
        <w:pStyle w:val="BodyText"/>
        <w:jc w:val="both"/>
        <w:sectPr w:rsidR="001B2C27">
          <w:pgSz w:w="12240" w:h="15840"/>
          <w:pgMar w:top="1500" w:right="1620" w:bottom="980" w:left="1680" w:header="0" w:footer="791" w:gutter="0"/>
          <w:cols w:space="720"/>
        </w:sectPr>
      </w:pPr>
      <w:r>
        <w:t>Students</w:t>
      </w:r>
      <w:r w:rsidR="00253E8A">
        <w:t xml:space="preserve"> will write a Monkey Cage-style piece that engages some aspect of </w:t>
      </w:r>
      <w:r w:rsidR="00683631">
        <w:t>protest</w:t>
      </w:r>
      <w:r w:rsidR="00253E8A">
        <w:t>/</w:t>
      </w:r>
      <w:r w:rsidR="00282908">
        <w:t>collective</w:t>
      </w:r>
      <w:r w:rsidR="00253E8A">
        <w:t xml:space="preserve"> </w:t>
      </w:r>
      <w:r>
        <w:t xml:space="preserve">mobilization around </w:t>
      </w:r>
      <w:r w:rsidR="008A2C61">
        <w:t xml:space="preserve">an </w:t>
      </w:r>
      <w:r w:rsidR="00282908">
        <w:t>issue grievance of their choice.</w:t>
      </w:r>
    </w:p>
    <w:p w14:paraId="32A79BC0" w14:textId="6F08A1A7" w:rsidR="001B2C27" w:rsidRDefault="00253E8A" w:rsidP="00632C9B">
      <w:pPr>
        <w:pStyle w:val="BodyText"/>
        <w:spacing w:before="74"/>
        <w:jc w:val="both"/>
      </w:pPr>
      <w:r>
        <w:lastRenderedPageBreak/>
        <w:t>This is the student’s opportunity to apply lessons learned</w:t>
      </w:r>
      <w:r w:rsidR="008A2C61">
        <w:t xml:space="preserve"> in policy-</w:t>
      </w:r>
      <w:r>
        <w:t>relevant analysis appropriate for a wide audience. More details will be given in class.</w:t>
      </w:r>
    </w:p>
    <w:p w14:paraId="630EEA8B" w14:textId="77777777" w:rsidR="001B2C27" w:rsidRDefault="001B2C27" w:rsidP="00632C9B">
      <w:pPr>
        <w:pStyle w:val="BodyText"/>
        <w:spacing w:before="5"/>
        <w:jc w:val="both"/>
      </w:pPr>
    </w:p>
    <w:p w14:paraId="4E48AF83" w14:textId="0BF5D408" w:rsidR="001B2C27" w:rsidRDefault="00253E8A" w:rsidP="00632C9B">
      <w:pPr>
        <w:pStyle w:val="ListParagraph"/>
        <w:numPr>
          <w:ilvl w:val="0"/>
          <w:numId w:val="1"/>
        </w:numPr>
        <w:tabs>
          <w:tab w:val="left" w:pos="360"/>
        </w:tabs>
        <w:ind w:left="0" w:firstLine="0"/>
        <w:jc w:val="both"/>
        <w:rPr>
          <w:sz w:val="24"/>
        </w:rPr>
      </w:pPr>
      <w:r>
        <w:rPr>
          <w:b/>
          <w:sz w:val="24"/>
        </w:rPr>
        <w:t xml:space="preserve">1,000-word Popular Culture Analysis (Extra Credit): Due </w:t>
      </w:r>
      <w:r w:rsidR="00E40FA7">
        <w:rPr>
          <w:b/>
          <w:sz w:val="24"/>
        </w:rPr>
        <w:t xml:space="preserve">on or </w:t>
      </w:r>
      <w:r>
        <w:rPr>
          <w:b/>
          <w:sz w:val="24"/>
        </w:rPr>
        <w:t>before last class</w:t>
      </w:r>
      <w:r w:rsidR="007170AA">
        <w:rPr>
          <w:b/>
          <w:sz w:val="24"/>
        </w:rPr>
        <w:t>.</w:t>
      </w:r>
      <w:r>
        <w:rPr>
          <w:b/>
          <w:sz w:val="24"/>
        </w:rPr>
        <w:t xml:space="preserve"> </w:t>
      </w:r>
      <w:r>
        <w:rPr>
          <w:sz w:val="24"/>
        </w:rPr>
        <w:t xml:space="preserve">For an opportunity at extra credit, students can select of a work of pop culture – film, TV show, poem, novel, art installation, song, etc. – that deals with a social movement or protest event in Europe to read, listen to, or observe, and will write a short paper outlining their reactions. Papers should </w:t>
      </w:r>
      <w:r w:rsidRPr="0002589F">
        <w:rPr>
          <w:b/>
          <w:bCs/>
          <w:sz w:val="24"/>
        </w:rPr>
        <w:t>briefly</w:t>
      </w:r>
      <w:r>
        <w:rPr>
          <w:sz w:val="24"/>
        </w:rPr>
        <w:t xml:space="preserve"> provide historical context of the grievances of the movement as addressed in the work and explain how the author/singer/painter/director etc. portrays those grievances. Students should also express in their papers how the work they chose may provide an empirical window into societal perspectives not accessible through other materials. We will have a discussion of appropriate sources in class</w:t>
      </w:r>
      <w:r w:rsidR="005C06F3">
        <w:rPr>
          <w:sz w:val="24"/>
        </w:rPr>
        <w:t>.</w:t>
      </w:r>
      <w:r>
        <w:rPr>
          <w:sz w:val="24"/>
        </w:rPr>
        <w:t xml:space="preserve"> The papers will be assessed as pass/fail; those receiving a pass will receive a 1/3 grade bump on their lowest grade</w:t>
      </w:r>
      <w:r w:rsidR="0002589F">
        <w:rPr>
          <w:sz w:val="24"/>
        </w:rPr>
        <w:t xml:space="preserve"> (or first of multiple lowest grades)</w:t>
      </w:r>
      <w:r>
        <w:rPr>
          <w:sz w:val="24"/>
        </w:rPr>
        <w:t xml:space="preserve"> at the end of the course.</w:t>
      </w:r>
    </w:p>
    <w:p w14:paraId="55820656" w14:textId="77777777" w:rsidR="001B2C27" w:rsidRDefault="001B2C27" w:rsidP="00632C9B">
      <w:pPr>
        <w:pStyle w:val="BodyText"/>
        <w:jc w:val="both"/>
      </w:pPr>
    </w:p>
    <w:p w14:paraId="45759DED" w14:textId="400D4F56" w:rsidR="001B2C27" w:rsidRPr="00B273FE" w:rsidRDefault="007F7B08" w:rsidP="00632C9B">
      <w:pPr>
        <w:pStyle w:val="ListParagraph"/>
        <w:numPr>
          <w:ilvl w:val="0"/>
          <w:numId w:val="1"/>
        </w:numPr>
        <w:tabs>
          <w:tab w:val="left" w:pos="360"/>
        </w:tabs>
        <w:ind w:left="0" w:firstLine="0"/>
        <w:jc w:val="both"/>
        <w:rPr>
          <w:sz w:val="24"/>
          <w:szCs w:val="24"/>
        </w:rPr>
      </w:pPr>
      <w:r>
        <w:rPr>
          <w:b/>
          <w:sz w:val="24"/>
        </w:rPr>
        <w:t xml:space="preserve">Analytical Research Paper of </w:t>
      </w:r>
      <w:r w:rsidR="00592F38">
        <w:rPr>
          <w:b/>
          <w:sz w:val="24"/>
        </w:rPr>
        <w:t>3</w:t>
      </w:r>
      <w:r w:rsidR="00253E8A">
        <w:rPr>
          <w:b/>
          <w:sz w:val="24"/>
        </w:rPr>
        <w:t>,000</w:t>
      </w:r>
      <w:r w:rsidR="00E40FA7">
        <w:rPr>
          <w:b/>
          <w:sz w:val="24"/>
        </w:rPr>
        <w:t xml:space="preserve"> words (</w:t>
      </w:r>
      <w:r w:rsidR="00683631">
        <w:rPr>
          <w:b/>
          <w:sz w:val="24"/>
        </w:rPr>
        <w:t>3</w:t>
      </w:r>
      <w:r w:rsidR="00E40FA7">
        <w:rPr>
          <w:b/>
          <w:sz w:val="24"/>
        </w:rPr>
        <w:t xml:space="preserve">0%): Due Friday, May </w:t>
      </w:r>
      <w:r w:rsidR="00872D26">
        <w:rPr>
          <w:b/>
          <w:sz w:val="24"/>
        </w:rPr>
        <w:t xml:space="preserve">6 </w:t>
      </w:r>
      <w:r w:rsidR="00253E8A">
        <w:rPr>
          <w:b/>
          <w:sz w:val="24"/>
        </w:rPr>
        <w:t xml:space="preserve">by </w:t>
      </w:r>
      <w:r w:rsidR="007170AA">
        <w:rPr>
          <w:b/>
          <w:sz w:val="24"/>
        </w:rPr>
        <w:t>5pm.</w:t>
      </w:r>
      <w:r w:rsidR="00253E8A">
        <w:rPr>
          <w:b/>
          <w:sz w:val="24"/>
        </w:rPr>
        <w:t xml:space="preserve"> </w:t>
      </w:r>
      <w:r w:rsidR="00253E8A" w:rsidRPr="00B273FE">
        <w:rPr>
          <w:sz w:val="24"/>
          <w:szCs w:val="24"/>
        </w:rPr>
        <w:t xml:space="preserve">The analytical essay will consist of an extended examination of one of the topics </w:t>
      </w:r>
      <w:r w:rsidR="000C6EE9">
        <w:rPr>
          <w:sz w:val="24"/>
          <w:szCs w:val="24"/>
        </w:rPr>
        <w:t xml:space="preserve">of protest and regime response </w:t>
      </w:r>
      <w:r w:rsidR="00253E8A" w:rsidRPr="00B273FE">
        <w:rPr>
          <w:sz w:val="24"/>
          <w:szCs w:val="24"/>
        </w:rPr>
        <w:t xml:space="preserve">covered in the course. This paper will provide students with the opportunity to explore in depth an issue area that is of particular interest to them, develop an argument, and present research in support of that argument. The paper should demonstrate the student’s ability to </w:t>
      </w:r>
      <w:r w:rsidR="00253E8A" w:rsidRPr="00282908">
        <w:rPr>
          <w:sz w:val="24"/>
          <w:szCs w:val="24"/>
        </w:rPr>
        <w:t>engage at least one of the themes</w:t>
      </w:r>
      <w:r w:rsidR="00253E8A" w:rsidRPr="00B273FE">
        <w:rPr>
          <w:sz w:val="24"/>
          <w:szCs w:val="24"/>
        </w:rPr>
        <w:t xml:space="preserve"> presented during the course along with the </w:t>
      </w:r>
      <w:r w:rsidR="00253E8A" w:rsidRPr="00B273FE">
        <w:rPr>
          <w:b/>
          <w:sz w:val="24"/>
          <w:szCs w:val="24"/>
        </w:rPr>
        <w:t xml:space="preserve">relevant </w:t>
      </w:r>
      <w:r w:rsidR="00282908">
        <w:rPr>
          <w:b/>
          <w:sz w:val="24"/>
          <w:szCs w:val="24"/>
        </w:rPr>
        <w:t xml:space="preserve">course </w:t>
      </w:r>
      <w:r w:rsidR="00253E8A" w:rsidRPr="00B273FE">
        <w:rPr>
          <w:b/>
          <w:sz w:val="24"/>
          <w:szCs w:val="24"/>
        </w:rPr>
        <w:t xml:space="preserve">readings </w:t>
      </w:r>
      <w:r w:rsidR="00253E8A" w:rsidRPr="00282908">
        <w:rPr>
          <w:sz w:val="24"/>
          <w:szCs w:val="24"/>
        </w:rPr>
        <w:t>for that theme</w:t>
      </w:r>
      <w:r w:rsidR="00253E8A" w:rsidRPr="00B273FE">
        <w:rPr>
          <w:sz w:val="24"/>
          <w:szCs w:val="24"/>
        </w:rPr>
        <w:t xml:space="preserve">. </w:t>
      </w:r>
      <w:r w:rsidR="00282908">
        <w:rPr>
          <w:sz w:val="24"/>
          <w:szCs w:val="24"/>
        </w:rPr>
        <w:t xml:space="preserve">Papers not actively engaging course readings – through direct reference, citations, paraphrasing, application of argument, etc. – </w:t>
      </w:r>
      <w:r w:rsidR="00282908" w:rsidRPr="00282908">
        <w:rPr>
          <w:b/>
          <w:sz w:val="24"/>
          <w:szCs w:val="24"/>
        </w:rPr>
        <w:t>will be marked down</w:t>
      </w:r>
      <w:r w:rsidR="00282908">
        <w:rPr>
          <w:sz w:val="24"/>
          <w:szCs w:val="24"/>
        </w:rPr>
        <w:t xml:space="preserve">. </w:t>
      </w:r>
      <w:r w:rsidR="00253E8A" w:rsidRPr="00B273FE">
        <w:rPr>
          <w:sz w:val="24"/>
          <w:szCs w:val="24"/>
        </w:rPr>
        <w:t xml:space="preserve">Whatever the topic, the paper </w:t>
      </w:r>
      <w:r w:rsidR="00253E8A" w:rsidRPr="00B273FE">
        <w:rPr>
          <w:b/>
          <w:sz w:val="24"/>
          <w:szCs w:val="24"/>
        </w:rPr>
        <w:t>must be analytical</w:t>
      </w:r>
      <w:r w:rsidR="00253E8A" w:rsidRPr="00B273FE">
        <w:rPr>
          <w:sz w:val="24"/>
          <w:szCs w:val="24"/>
        </w:rPr>
        <w:t xml:space="preserve">, in that it presents a well-reasoned argument and includes appropriate supporting evidence that is correctly cited; an essay that </w:t>
      </w:r>
      <w:r w:rsidR="00253E8A" w:rsidRPr="00282908">
        <w:rPr>
          <w:sz w:val="24"/>
          <w:szCs w:val="24"/>
        </w:rPr>
        <w:t>only contains description</w:t>
      </w:r>
      <w:r w:rsidR="00253E8A" w:rsidRPr="00B273FE">
        <w:rPr>
          <w:b/>
          <w:spacing w:val="-19"/>
          <w:sz w:val="24"/>
          <w:szCs w:val="24"/>
        </w:rPr>
        <w:t xml:space="preserve"> </w:t>
      </w:r>
      <w:r w:rsidR="00253E8A" w:rsidRPr="00B273FE">
        <w:rPr>
          <w:sz w:val="24"/>
          <w:szCs w:val="24"/>
        </w:rPr>
        <w:t>will</w:t>
      </w:r>
      <w:r w:rsidR="00B273FE" w:rsidRPr="00B273FE">
        <w:rPr>
          <w:sz w:val="24"/>
          <w:szCs w:val="24"/>
        </w:rPr>
        <w:t xml:space="preserve"> </w:t>
      </w:r>
      <w:r w:rsidR="00253E8A" w:rsidRPr="00B273FE">
        <w:rPr>
          <w:sz w:val="24"/>
          <w:szCs w:val="24"/>
        </w:rPr>
        <w:t>not receive a top grade. The paper should show strong research and critical thinking skills, be well written in terms of grammar and structure, and include a full bibliography.</w:t>
      </w:r>
      <w:r w:rsidR="00B273FE">
        <w:rPr>
          <w:sz w:val="24"/>
          <w:szCs w:val="24"/>
        </w:rPr>
        <w:t xml:space="preserve"> </w:t>
      </w:r>
      <w:r w:rsidR="00253E8A" w:rsidRPr="00B273FE">
        <w:rPr>
          <w:sz w:val="24"/>
          <w:szCs w:val="24"/>
        </w:rPr>
        <w:t xml:space="preserve">Students expected to use feedback provided during the Paper Workshop in finalizing their argumentation. </w:t>
      </w:r>
    </w:p>
    <w:p w14:paraId="4C385C85" w14:textId="77777777" w:rsidR="001B2C27" w:rsidRDefault="001B2C27" w:rsidP="00632C9B">
      <w:pPr>
        <w:pStyle w:val="BodyText"/>
        <w:jc w:val="both"/>
      </w:pPr>
    </w:p>
    <w:p w14:paraId="294248D6" w14:textId="77777777" w:rsidR="001B2C27" w:rsidRDefault="00253E8A" w:rsidP="00632C9B">
      <w:pPr>
        <w:pStyle w:val="Heading1"/>
        <w:ind w:left="0"/>
        <w:jc w:val="both"/>
      </w:pPr>
      <w:r>
        <w:rPr>
          <w:u w:val="thick"/>
        </w:rPr>
        <w:t>Late Work Policy</w:t>
      </w:r>
    </w:p>
    <w:p w14:paraId="6EF11082" w14:textId="77777777" w:rsidR="001B2C27" w:rsidRDefault="00253E8A" w:rsidP="00632C9B">
      <w:pPr>
        <w:pStyle w:val="BodyText"/>
        <w:jc w:val="both"/>
      </w:pPr>
      <w:r>
        <w:t>Deadlines for written work should be taken very seriously. Assignments turned in late will lose a third of a grade for each day they are late (</w:t>
      </w:r>
      <w:proofErr w:type="gramStart"/>
      <w:r>
        <w:t>e.g.</w:t>
      </w:r>
      <w:proofErr w:type="gramEnd"/>
      <w:r>
        <w:t xml:space="preserve"> B+ &gt;&gt;&gt; B). Extensions will only be granted in case of emergency. Please discuss any concerns you have with Prof. Hintz </w:t>
      </w:r>
      <w:r>
        <w:rPr>
          <w:b/>
        </w:rPr>
        <w:t>AHEAD OF TIME</w:t>
      </w:r>
      <w:r>
        <w:t>.</w:t>
      </w:r>
    </w:p>
    <w:p w14:paraId="3113321B" w14:textId="77777777" w:rsidR="001B2C27" w:rsidRDefault="001B2C27" w:rsidP="00632C9B">
      <w:pPr>
        <w:pStyle w:val="BodyText"/>
        <w:spacing w:before="3"/>
        <w:jc w:val="both"/>
      </w:pPr>
    </w:p>
    <w:p w14:paraId="4875F86B" w14:textId="77777777" w:rsidR="001B2C27" w:rsidRDefault="00253E8A" w:rsidP="00632C9B">
      <w:pPr>
        <w:pStyle w:val="Heading1"/>
        <w:ind w:left="0"/>
        <w:jc w:val="both"/>
      </w:pPr>
      <w:r>
        <w:rPr>
          <w:u w:val="thick"/>
        </w:rPr>
        <w:t>Honor Code</w:t>
      </w:r>
    </w:p>
    <w:p w14:paraId="70C80D11" w14:textId="77777777" w:rsidR="001B2C27" w:rsidRDefault="00253E8A" w:rsidP="00632C9B">
      <w:pPr>
        <w:pStyle w:val="BodyText"/>
        <w:jc w:val="both"/>
      </w:pPr>
      <w:r>
        <w:t>Refer to Johns Hopkins SAIS Students and Academic Handbook (Red Book) for the rules, guidelines and procedures that must be followed in accordance with our Honor Code. Please find useful information and a downloadable copy of the book here:</w:t>
      </w:r>
      <w:hyperlink r:id="rId8" w:anchor="red-book">
        <w:r>
          <w:t xml:space="preserve"> http://www.sais-jhu.edu/atoz/academic-procedures-manual#red-book.</w:t>
        </w:r>
      </w:hyperlink>
    </w:p>
    <w:p w14:paraId="45AA2A1B" w14:textId="77777777" w:rsidR="001B2C27" w:rsidRDefault="001B2C27" w:rsidP="00632C9B">
      <w:pPr>
        <w:pStyle w:val="BodyText"/>
        <w:spacing w:before="2"/>
        <w:jc w:val="both"/>
      </w:pPr>
    </w:p>
    <w:p w14:paraId="2C1E1B10" w14:textId="77777777" w:rsidR="001B2C27" w:rsidRDefault="00253E8A" w:rsidP="00632C9B">
      <w:pPr>
        <w:pStyle w:val="Heading1"/>
        <w:spacing w:before="1"/>
        <w:ind w:left="0"/>
        <w:jc w:val="both"/>
      </w:pPr>
      <w:r>
        <w:rPr>
          <w:u w:val="thick"/>
        </w:rPr>
        <w:t>Statement for Students with Disabilities</w:t>
      </w:r>
    </w:p>
    <w:p w14:paraId="316BBE94" w14:textId="25894956" w:rsidR="001B2C27" w:rsidRDefault="00253E8A" w:rsidP="00632C9B">
      <w:pPr>
        <w:pStyle w:val="BodyText"/>
        <w:jc w:val="both"/>
        <w:sectPr w:rsidR="001B2C27">
          <w:pgSz w:w="12240" w:h="15840"/>
          <w:pgMar w:top="1360" w:right="1620" w:bottom="980" w:left="1680" w:header="0" w:footer="791" w:gutter="0"/>
          <w:cols w:space="720"/>
        </w:sectPr>
      </w:pPr>
      <w:r>
        <w:t>We welcome students, faculty, staff, and visitors with disabilities and are committed to providing an accommodating environment on our campuses. Student Disability Services representatives can advise you on services and accommodations, including taking notes, sign language interpreters, physical access, and assistive technology. They are here to make sure you get the support you need to be</w:t>
      </w:r>
      <w:r>
        <w:rPr>
          <w:spacing w:val="-5"/>
        </w:rPr>
        <w:t xml:space="preserve"> </w:t>
      </w:r>
      <w:r w:rsidR="00AD1220">
        <w:t>successful.</w:t>
      </w:r>
    </w:p>
    <w:p w14:paraId="4519213B" w14:textId="77777777" w:rsidR="001B2C27" w:rsidRDefault="00253E8A" w:rsidP="00632C9B">
      <w:pPr>
        <w:pStyle w:val="Heading1"/>
        <w:spacing w:before="90"/>
        <w:ind w:left="0"/>
        <w:jc w:val="both"/>
      </w:pPr>
      <w:bookmarkStart w:id="0" w:name="University_Statement_on_Equal_Opportunit"/>
      <w:bookmarkEnd w:id="0"/>
      <w:r>
        <w:rPr>
          <w:u w:val="single"/>
        </w:rPr>
        <w:lastRenderedPageBreak/>
        <w:t>University Statement on Equal Opportunity</w:t>
      </w:r>
    </w:p>
    <w:p w14:paraId="71F45F5B" w14:textId="17FC7F91" w:rsidR="001B2C27" w:rsidRPr="00D847C6" w:rsidRDefault="00253E8A" w:rsidP="00632C9B">
      <w:pPr>
        <w:pStyle w:val="BodyText"/>
        <w:jc w:val="both"/>
      </w:pPr>
      <w:bookmarkStart w:id="1" w:name="Johns_Hopkins_University_does_not_discri"/>
      <w:bookmarkEnd w:id="1"/>
      <w:r>
        <w:t>Johns Hopkins University does not discriminate on the basis of gender, marital status, pregnancy, race, color, ethnicity, national origin, age, disability, religion, sexual orientation, veteran status or other legally protected characteristic in any student program, activity administered by the university, admission, or employment.</w:t>
      </w:r>
      <w:bookmarkStart w:id="2" w:name="Disability_resources"/>
      <w:bookmarkEnd w:id="2"/>
    </w:p>
    <w:p w14:paraId="46FB128E" w14:textId="77777777" w:rsidR="001B2C27" w:rsidRDefault="001B2C27" w:rsidP="00632C9B">
      <w:pPr>
        <w:pStyle w:val="BodyText"/>
        <w:spacing w:before="9"/>
        <w:jc w:val="both"/>
        <w:rPr>
          <w:sz w:val="20"/>
        </w:rPr>
      </w:pPr>
    </w:p>
    <w:p w14:paraId="2903AC07" w14:textId="77777777" w:rsidR="001B2C27" w:rsidRDefault="00253E8A" w:rsidP="00632C9B">
      <w:pPr>
        <w:pStyle w:val="Heading1"/>
        <w:spacing w:before="90"/>
        <w:ind w:left="0"/>
        <w:jc w:val="both"/>
      </w:pPr>
      <w:r>
        <w:rPr>
          <w:u w:val="thick"/>
        </w:rPr>
        <w:t>Technology in the Classroom</w:t>
      </w:r>
    </w:p>
    <w:p w14:paraId="0CEB453D" w14:textId="77777777" w:rsidR="001B2C27" w:rsidRDefault="00253E8A" w:rsidP="00632C9B">
      <w:pPr>
        <w:pStyle w:val="BodyText"/>
        <w:jc w:val="both"/>
      </w:pPr>
      <w:r>
        <w:t xml:space="preserve">To reduce distractions for all students and provide the most productive learning environment possible, the use of cell phones will not be permitted during class without permission from the instructor. Unless it is a case of special circumstances, all cell phones </w:t>
      </w:r>
      <w:r>
        <w:rPr>
          <w:b/>
        </w:rPr>
        <w:t xml:space="preserve">must </w:t>
      </w:r>
      <w:r>
        <w:t>be switched off for the duration of class and kept out of reach.</w:t>
      </w:r>
    </w:p>
    <w:p w14:paraId="38CBED95" w14:textId="77777777" w:rsidR="001B2C27" w:rsidRDefault="001B2C27" w:rsidP="00632C9B">
      <w:pPr>
        <w:pStyle w:val="BodyText"/>
        <w:spacing w:before="3"/>
        <w:jc w:val="both"/>
      </w:pPr>
    </w:p>
    <w:p w14:paraId="02663E5B" w14:textId="77777777" w:rsidR="001B2C27" w:rsidRDefault="00253E8A" w:rsidP="00632C9B">
      <w:pPr>
        <w:pStyle w:val="Heading1"/>
        <w:ind w:left="0"/>
        <w:jc w:val="both"/>
      </w:pPr>
      <w:r>
        <w:rPr>
          <w:u w:val="thick"/>
        </w:rPr>
        <w:t>Readings and Class Schedule</w:t>
      </w:r>
    </w:p>
    <w:p w14:paraId="2772D8A4" w14:textId="77777777" w:rsidR="001B2C27" w:rsidRDefault="00253E8A" w:rsidP="00632C9B">
      <w:pPr>
        <w:pStyle w:val="BodyText"/>
        <w:jc w:val="both"/>
      </w:pPr>
      <w:r>
        <w:t>Each week’s set of readings will consist of four to five articles and/or book chapters. Most readings will be posted, while some book chapters will be available on loan.</w:t>
      </w:r>
    </w:p>
    <w:p w14:paraId="7BEDCC2A" w14:textId="67A2056F" w:rsidR="001B2C27" w:rsidRDefault="00253E8A" w:rsidP="00632C9B">
      <w:pPr>
        <w:pStyle w:val="BodyText"/>
        <w:jc w:val="both"/>
      </w:pPr>
      <w:r>
        <w:t xml:space="preserve">Students are not required to acquire any of the books we will read, but may do so if they wish. Readings may be updated with ample notice to reflect and incorporate current events throughout the term. Most weeks will include at least one policy/blog-style piece to assist students in their </w:t>
      </w:r>
      <w:r w:rsidR="00D847C6">
        <w:t>Monkey Cage</w:t>
      </w:r>
      <w:r>
        <w:t xml:space="preserve"> exercise; these in particular are subject to updating.</w:t>
      </w:r>
    </w:p>
    <w:p w14:paraId="6CBE6E20" w14:textId="77777777" w:rsidR="001B2C27" w:rsidRDefault="001B2C27" w:rsidP="00632C9B">
      <w:pPr>
        <w:sectPr w:rsidR="001B2C27">
          <w:pgSz w:w="12240" w:h="15840"/>
          <w:pgMar w:top="1500" w:right="1620" w:bottom="980" w:left="1680" w:header="0" w:footer="791" w:gutter="0"/>
          <w:cols w:space="720"/>
        </w:sectPr>
      </w:pPr>
    </w:p>
    <w:p w14:paraId="6093C007" w14:textId="13F8DC3D" w:rsidR="001B2C27" w:rsidRDefault="00253E8A" w:rsidP="00632C9B">
      <w:pPr>
        <w:pStyle w:val="Heading1"/>
        <w:spacing w:before="79"/>
        <w:ind w:left="0"/>
        <w:jc w:val="center"/>
      </w:pPr>
      <w:r>
        <w:rPr>
          <w:u w:val="thick"/>
        </w:rPr>
        <w:lastRenderedPageBreak/>
        <w:t>PART I: Logics</w:t>
      </w:r>
      <w:r w:rsidR="008B3791">
        <w:rPr>
          <w:u w:val="thick"/>
        </w:rPr>
        <w:t xml:space="preserve">, </w:t>
      </w:r>
      <w:r>
        <w:rPr>
          <w:u w:val="thick"/>
        </w:rPr>
        <w:t>Mechanisms</w:t>
      </w:r>
      <w:r w:rsidR="008B3791">
        <w:rPr>
          <w:u w:val="thick"/>
        </w:rPr>
        <w:t>, and Tools</w:t>
      </w:r>
      <w:r>
        <w:rPr>
          <w:u w:val="thick"/>
        </w:rPr>
        <w:t xml:space="preserve"> of </w:t>
      </w:r>
      <w:r w:rsidR="00AD1220">
        <w:rPr>
          <w:u w:val="thick"/>
        </w:rPr>
        <w:t>Mobilization</w:t>
      </w:r>
    </w:p>
    <w:p w14:paraId="1F3AB6DE" w14:textId="77777777" w:rsidR="001B2C27" w:rsidRDefault="001B2C27" w:rsidP="00632C9B">
      <w:pPr>
        <w:pStyle w:val="BodyText"/>
        <w:spacing w:before="2"/>
        <w:jc w:val="center"/>
        <w:rPr>
          <w:b/>
          <w:sz w:val="16"/>
        </w:rPr>
      </w:pPr>
    </w:p>
    <w:p w14:paraId="2A8632D3" w14:textId="06A2FF41" w:rsidR="001B2C27" w:rsidRDefault="00253E8A" w:rsidP="00632C9B">
      <w:pPr>
        <w:spacing w:before="90"/>
        <w:jc w:val="center"/>
        <w:rPr>
          <w:b/>
        </w:rPr>
      </w:pPr>
      <w:r>
        <w:rPr>
          <w:b/>
        </w:rPr>
        <w:t>Week 1, Jan</w:t>
      </w:r>
      <w:r w:rsidR="00126EE6">
        <w:rPr>
          <w:b/>
        </w:rPr>
        <w:t>uary 2</w:t>
      </w:r>
      <w:r w:rsidR="003B3125">
        <w:rPr>
          <w:b/>
        </w:rPr>
        <w:t>6</w:t>
      </w:r>
    </w:p>
    <w:p w14:paraId="795889C3" w14:textId="77777777" w:rsidR="001B2C27" w:rsidRDefault="00253E8A" w:rsidP="00632C9B">
      <w:pPr>
        <w:jc w:val="center"/>
        <w:rPr>
          <w:b/>
        </w:rPr>
      </w:pPr>
      <w:r>
        <w:rPr>
          <w:b/>
        </w:rPr>
        <w:t>Class Introduction, Overview of Topics</w:t>
      </w:r>
    </w:p>
    <w:p w14:paraId="54A9F81F" w14:textId="77777777" w:rsidR="001B2C27" w:rsidRDefault="001B2C27" w:rsidP="00632C9B">
      <w:pPr>
        <w:pStyle w:val="BodyText"/>
        <w:spacing w:before="6"/>
        <w:rPr>
          <w:b/>
          <w:sz w:val="23"/>
        </w:rPr>
      </w:pPr>
    </w:p>
    <w:p w14:paraId="17A0A7E3" w14:textId="77777777" w:rsidR="001B2C27" w:rsidRDefault="00253E8A" w:rsidP="00632C9B">
      <w:pPr>
        <w:spacing w:before="1"/>
      </w:pPr>
      <w:r>
        <w:t xml:space="preserve">Sidney </w:t>
      </w:r>
      <w:proofErr w:type="spellStart"/>
      <w:r>
        <w:t>Tarrow</w:t>
      </w:r>
      <w:proofErr w:type="spellEnd"/>
      <w:r>
        <w:t xml:space="preserve">, “Silence and Voice in the Study of Contentious Politics: An Introduction,” in Ronald </w:t>
      </w:r>
      <w:proofErr w:type="spellStart"/>
      <w:r>
        <w:t>Aminzade</w:t>
      </w:r>
      <w:proofErr w:type="spellEnd"/>
      <w:r>
        <w:t xml:space="preserve"> et al. (eds) </w:t>
      </w:r>
      <w:r>
        <w:rPr>
          <w:i/>
        </w:rPr>
        <w:t xml:space="preserve">Silence and Voice in the Study of Contentious Politics </w:t>
      </w:r>
      <w:r>
        <w:t>(New York, NY: Cambridge University Press, 2001).</w:t>
      </w:r>
    </w:p>
    <w:p w14:paraId="09557527" w14:textId="77777777" w:rsidR="001B2C27" w:rsidRDefault="001B2C27" w:rsidP="00632C9B">
      <w:pPr>
        <w:pStyle w:val="BodyText"/>
      </w:pPr>
    </w:p>
    <w:p w14:paraId="2E7C09CC" w14:textId="782B1E34" w:rsidR="001B2C27" w:rsidRDefault="00022E6D" w:rsidP="00632C9B">
      <w:pPr>
        <w:pStyle w:val="BodyText"/>
      </w:pPr>
      <w:r>
        <w:t xml:space="preserve">Lorenzo </w:t>
      </w:r>
      <w:proofErr w:type="spellStart"/>
      <w:r>
        <w:t>Bosi</w:t>
      </w:r>
      <w:proofErr w:type="spellEnd"/>
      <w:r>
        <w:t xml:space="preserve"> and Katrin Uba, “Collective Action Outcomes: Ways Forward for the Subfield,” Introduction to special issue of </w:t>
      </w:r>
      <w:proofErr w:type="spellStart"/>
      <w:r w:rsidRPr="005C5F9E">
        <w:rPr>
          <w:i/>
          <w:iCs/>
        </w:rPr>
        <w:t>Partecipazione</w:t>
      </w:r>
      <w:proofErr w:type="spellEnd"/>
      <w:r w:rsidRPr="005C5F9E">
        <w:rPr>
          <w:i/>
          <w:iCs/>
        </w:rPr>
        <w:t xml:space="preserve"> e </w:t>
      </w:r>
      <w:proofErr w:type="spellStart"/>
      <w:r w:rsidRPr="005C5F9E">
        <w:rPr>
          <w:i/>
          <w:iCs/>
        </w:rPr>
        <w:t>Conflitto</w:t>
      </w:r>
      <w:proofErr w:type="spellEnd"/>
      <w:r>
        <w:t xml:space="preserve">, </w:t>
      </w:r>
      <w:r w:rsidR="005C5F9E">
        <w:t>Vol. 1</w:t>
      </w:r>
      <w:r>
        <w:t xml:space="preserve">4, </w:t>
      </w:r>
      <w:r w:rsidR="005C5F9E">
        <w:t xml:space="preserve">No. </w:t>
      </w:r>
      <w:r>
        <w:t>3, 2021 (</w:t>
      </w:r>
      <w:r w:rsidR="005C5F9E">
        <w:t>skip sub-section 3 about contributions).</w:t>
      </w:r>
      <w:r>
        <w:t xml:space="preserve"> </w:t>
      </w:r>
    </w:p>
    <w:p w14:paraId="6790AC87" w14:textId="77777777" w:rsidR="001B2C27" w:rsidRDefault="001B2C27" w:rsidP="00632C9B">
      <w:pPr>
        <w:pStyle w:val="BodyText"/>
      </w:pPr>
    </w:p>
    <w:p w14:paraId="34379395" w14:textId="77777777" w:rsidR="001B2C27" w:rsidRPr="00B74E36" w:rsidRDefault="00253E8A" w:rsidP="00632C9B">
      <w:pPr>
        <w:rPr>
          <w:i/>
        </w:rPr>
      </w:pPr>
      <w:r>
        <w:t xml:space="preserve">Mark </w:t>
      </w:r>
      <w:proofErr w:type="spellStart"/>
      <w:r w:rsidRPr="00B74E36">
        <w:t>Beissinger</w:t>
      </w:r>
      <w:proofErr w:type="spellEnd"/>
      <w:r w:rsidRPr="00B74E36">
        <w:t xml:space="preserve">, </w:t>
      </w:r>
      <w:r w:rsidRPr="00B74E36">
        <w:rPr>
          <w:i/>
        </w:rPr>
        <w:t>Nationalist Mobilization and the Collapse of the Soviet State</w:t>
      </w:r>
    </w:p>
    <w:p w14:paraId="53257B1E" w14:textId="77777777" w:rsidR="001B2C27" w:rsidRPr="00B74E36" w:rsidRDefault="00253E8A" w:rsidP="00632C9B">
      <w:pPr>
        <w:pStyle w:val="BodyText"/>
      </w:pPr>
      <w:r w:rsidRPr="00B74E36">
        <w:t>(Cambridge, UK: Cambridge University Press, 2002), Chapter 1.</w:t>
      </w:r>
    </w:p>
    <w:p w14:paraId="5FF10C62" w14:textId="77777777" w:rsidR="001B2C27" w:rsidRPr="00B74E36" w:rsidRDefault="001B2C27" w:rsidP="00632C9B">
      <w:pPr>
        <w:pStyle w:val="BodyText"/>
      </w:pPr>
    </w:p>
    <w:p w14:paraId="130B2FBA" w14:textId="634FDE55" w:rsidR="00B817DA" w:rsidRPr="00B74E36" w:rsidRDefault="00B817DA" w:rsidP="00632C9B">
      <w:pPr>
        <w:pStyle w:val="BodyText"/>
      </w:pPr>
      <w:r w:rsidRPr="00B74E36">
        <w:t xml:space="preserve">Maria J. Stephan and Adam Gallagher, “Five Myths About Protest Movements,” </w:t>
      </w:r>
      <w:r w:rsidR="00022E6D" w:rsidRPr="00B74E36">
        <w:rPr>
          <w:i/>
          <w:iCs/>
        </w:rPr>
        <w:t>The Washington Post</w:t>
      </w:r>
      <w:r w:rsidR="00022E6D" w:rsidRPr="00B74E36">
        <w:t>, 13 December 2019.</w:t>
      </w:r>
    </w:p>
    <w:p w14:paraId="5D00650E" w14:textId="77777777" w:rsidR="00B74E36" w:rsidRPr="00B74E36" w:rsidRDefault="00B74E36" w:rsidP="00632C9B">
      <w:pPr>
        <w:pStyle w:val="BodyText"/>
      </w:pPr>
    </w:p>
    <w:p w14:paraId="3D74E750" w14:textId="23B985B9" w:rsidR="001B2C27" w:rsidRDefault="002B2832" w:rsidP="00632C9B">
      <w:pPr>
        <w:pStyle w:val="BodyText"/>
      </w:pPr>
      <w:r w:rsidRPr="00B74E36">
        <w:t xml:space="preserve">Edward Schatz, “Kazakhstan’s Leaders </w:t>
      </w:r>
      <w:r w:rsidR="005C5F9E" w:rsidRPr="00B74E36">
        <w:t>P</w:t>
      </w:r>
      <w:r w:rsidRPr="00B74E36">
        <w:t>romised Middle-C</w:t>
      </w:r>
      <w:r w:rsidR="005C5F9E" w:rsidRPr="00B74E36">
        <w:t>l</w:t>
      </w:r>
      <w:r w:rsidRPr="00B74E36">
        <w:t xml:space="preserve">ass Comfort. Then They Raised Prices,” </w:t>
      </w:r>
      <w:r w:rsidRPr="00B74E36">
        <w:rPr>
          <w:i/>
          <w:iCs/>
        </w:rPr>
        <w:t>The Washington Post</w:t>
      </w:r>
      <w:r w:rsidRPr="00B74E36">
        <w:t>, (Monkey Cage blog), 7 January 2022.</w:t>
      </w:r>
    </w:p>
    <w:p w14:paraId="1F4BC614" w14:textId="38FAA5C3" w:rsidR="00AD023C" w:rsidRDefault="00AD023C" w:rsidP="00632C9B">
      <w:pPr>
        <w:pStyle w:val="BodyText"/>
      </w:pPr>
    </w:p>
    <w:p w14:paraId="02B60209" w14:textId="3A866949" w:rsidR="00AD023C" w:rsidRPr="00B74E36" w:rsidRDefault="00AD023C" w:rsidP="00632C9B">
      <w:pPr>
        <w:pStyle w:val="BodyText"/>
      </w:pPr>
      <w:proofErr w:type="spellStart"/>
      <w:r>
        <w:t>Raushan</w:t>
      </w:r>
      <w:proofErr w:type="spellEnd"/>
      <w:r>
        <w:t xml:space="preserve"> </w:t>
      </w:r>
      <w:proofErr w:type="spellStart"/>
      <w:r>
        <w:t>Zhandayeva</w:t>
      </w:r>
      <w:proofErr w:type="spellEnd"/>
      <w:r>
        <w:t xml:space="preserve"> and </w:t>
      </w:r>
      <w:proofErr w:type="spellStart"/>
      <w:r>
        <w:t>Alimana</w:t>
      </w:r>
      <w:proofErr w:type="spellEnd"/>
      <w:r>
        <w:t xml:space="preserve"> </w:t>
      </w:r>
      <w:proofErr w:type="spellStart"/>
      <w:r>
        <w:t>Zhanmukanova</w:t>
      </w:r>
      <w:proofErr w:type="spellEnd"/>
      <w:r>
        <w:t xml:space="preserve">, “Kazakhstan’s Instability Has Been Building </w:t>
      </w:r>
      <w:r w:rsidR="00CD24C0">
        <w:t>f</w:t>
      </w:r>
      <w:r>
        <w:t xml:space="preserve">or Years,” </w:t>
      </w:r>
      <w:r w:rsidRPr="00AD023C">
        <w:rPr>
          <w:i/>
          <w:iCs/>
        </w:rPr>
        <w:t>Foreign Policy</w:t>
      </w:r>
      <w:r>
        <w:t>, 10 January 2022.</w:t>
      </w:r>
    </w:p>
    <w:p w14:paraId="48DACE7D" w14:textId="77777777" w:rsidR="001B2C27" w:rsidRPr="00B74E36" w:rsidRDefault="001B2C27" w:rsidP="00632C9B">
      <w:pPr>
        <w:pStyle w:val="BodyText"/>
      </w:pPr>
    </w:p>
    <w:p w14:paraId="79691F2C" w14:textId="5D5E9234" w:rsidR="001B2C27" w:rsidRDefault="001B2C27" w:rsidP="008B3791">
      <w:pPr>
        <w:pStyle w:val="BodyText"/>
      </w:pPr>
    </w:p>
    <w:p w14:paraId="101BAA50" w14:textId="77777777" w:rsidR="00B74E36" w:rsidRPr="00B74E36" w:rsidRDefault="00B74E36" w:rsidP="008B3791">
      <w:pPr>
        <w:pStyle w:val="BodyText"/>
      </w:pPr>
    </w:p>
    <w:p w14:paraId="369F53F8" w14:textId="77777777" w:rsidR="008B3791" w:rsidRPr="00B74E36" w:rsidRDefault="00126EE6" w:rsidP="008B3791">
      <w:pPr>
        <w:pStyle w:val="Heading1"/>
        <w:ind w:left="0" w:firstLine="1"/>
        <w:jc w:val="center"/>
      </w:pPr>
      <w:r w:rsidRPr="00B74E36">
        <w:t xml:space="preserve">Week 2, February </w:t>
      </w:r>
      <w:r w:rsidR="003B3125" w:rsidRPr="00B74E36">
        <w:t>2</w:t>
      </w:r>
      <w:r w:rsidR="00253E8A" w:rsidRPr="00B74E36">
        <w:t xml:space="preserve"> </w:t>
      </w:r>
    </w:p>
    <w:p w14:paraId="50DDE347" w14:textId="78378542" w:rsidR="001B2C27" w:rsidRPr="00B74E36" w:rsidRDefault="00253E8A" w:rsidP="008B3791">
      <w:pPr>
        <w:pStyle w:val="Heading1"/>
        <w:ind w:left="0" w:firstLine="1"/>
        <w:jc w:val="center"/>
      </w:pPr>
      <w:r w:rsidRPr="00B74E36">
        <w:t>Mechanisms</w:t>
      </w:r>
      <w:r w:rsidR="00CC42EE">
        <w:t xml:space="preserve"> and Structures</w:t>
      </w:r>
      <w:r w:rsidRPr="00B74E36">
        <w:t xml:space="preserve"> of Mobilization</w:t>
      </w:r>
    </w:p>
    <w:p w14:paraId="6B650437" w14:textId="77777777" w:rsidR="001B2C27" w:rsidRPr="00B74E36" w:rsidRDefault="001B2C27" w:rsidP="00632C9B">
      <w:pPr>
        <w:pStyle w:val="BodyText"/>
        <w:spacing w:before="3"/>
        <w:rPr>
          <w:b/>
        </w:rPr>
      </w:pPr>
    </w:p>
    <w:p w14:paraId="1D5FA1A0" w14:textId="61B04D58" w:rsidR="001B2C27" w:rsidRPr="00553295" w:rsidRDefault="00253E8A" w:rsidP="00632C9B">
      <w:r w:rsidRPr="00B74E36">
        <w:t xml:space="preserve">Sidney </w:t>
      </w:r>
      <w:proofErr w:type="spellStart"/>
      <w:r w:rsidRPr="00553295">
        <w:t>Tarrow</w:t>
      </w:r>
      <w:proofErr w:type="spellEnd"/>
      <w:r w:rsidRPr="00553295">
        <w:t xml:space="preserve">, </w:t>
      </w:r>
      <w:r w:rsidRPr="00553295">
        <w:rPr>
          <w:i/>
        </w:rPr>
        <w:t>Power in Movement: Social Movements and Contentious Politics, 3</w:t>
      </w:r>
      <w:proofErr w:type="spellStart"/>
      <w:r w:rsidRPr="00553295">
        <w:rPr>
          <w:i/>
          <w:position w:val="9"/>
        </w:rPr>
        <w:t>rd</w:t>
      </w:r>
      <w:proofErr w:type="spellEnd"/>
      <w:r w:rsidRPr="00553295">
        <w:rPr>
          <w:i/>
          <w:position w:val="9"/>
        </w:rPr>
        <w:t xml:space="preserve"> </w:t>
      </w:r>
      <w:r w:rsidRPr="00553295">
        <w:rPr>
          <w:i/>
        </w:rPr>
        <w:t xml:space="preserve">edition </w:t>
      </w:r>
      <w:r w:rsidRPr="00553295">
        <w:t>(Cambridge University Press, 2011), Chapter 9.</w:t>
      </w:r>
    </w:p>
    <w:p w14:paraId="3DF64830" w14:textId="77777777" w:rsidR="00553295" w:rsidRPr="00553295" w:rsidRDefault="00553295" w:rsidP="00632C9B">
      <w:pPr>
        <w:pStyle w:val="BodyText"/>
      </w:pPr>
    </w:p>
    <w:p w14:paraId="35D17CAF" w14:textId="3C345038" w:rsidR="001B2C27" w:rsidRPr="00A417FB" w:rsidRDefault="00253E8A" w:rsidP="00632C9B">
      <w:pPr>
        <w:pStyle w:val="BodyText"/>
      </w:pPr>
      <w:r w:rsidRPr="00553295">
        <w:t xml:space="preserve">Timur </w:t>
      </w:r>
      <w:proofErr w:type="spellStart"/>
      <w:r w:rsidRPr="00553295">
        <w:t>Kuran</w:t>
      </w:r>
      <w:proofErr w:type="spellEnd"/>
      <w:r w:rsidRPr="00553295">
        <w:t xml:space="preserve">, “Now Out of Never: The </w:t>
      </w:r>
      <w:r w:rsidRPr="00A417FB">
        <w:t xml:space="preserve">Element of Surprise in the East European Revolution of 1989,” </w:t>
      </w:r>
      <w:r w:rsidRPr="00A417FB">
        <w:rPr>
          <w:i/>
        </w:rPr>
        <w:t>World Politics</w:t>
      </w:r>
      <w:r w:rsidRPr="00A417FB">
        <w:t>, Vol. 44, No. 1, 1991.</w:t>
      </w:r>
    </w:p>
    <w:p w14:paraId="40A905A3" w14:textId="77777777" w:rsidR="001B2C27" w:rsidRPr="00A417FB" w:rsidRDefault="001B2C27" w:rsidP="00632C9B">
      <w:pPr>
        <w:pStyle w:val="BodyText"/>
      </w:pPr>
    </w:p>
    <w:p w14:paraId="2F4A23AB" w14:textId="6B2EC7BC" w:rsidR="001B2C27" w:rsidRPr="00A417FB" w:rsidRDefault="00253E8A" w:rsidP="00632C9B">
      <w:r w:rsidRPr="00A417FB">
        <w:t>Hank Johnston</w:t>
      </w:r>
      <w:r w:rsidR="00632C9B" w:rsidRPr="00A417FB">
        <w:t>,</w:t>
      </w:r>
      <w:r w:rsidRPr="00A417FB">
        <w:t xml:space="preserve"> “‘Let’s Get Small’: The Dynamics of Small Contention in Repressive States,” </w:t>
      </w:r>
      <w:r w:rsidRPr="00A417FB">
        <w:rPr>
          <w:i/>
        </w:rPr>
        <w:t>Mobilization: An International Quarterly</w:t>
      </w:r>
      <w:r w:rsidRPr="00A417FB">
        <w:t>, Vol. 11, No. 2, 2016.</w:t>
      </w:r>
    </w:p>
    <w:p w14:paraId="2029334E" w14:textId="77777777" w:rsidR="001B2C27" w:rsidRPr="00A417FB" w:rsidRDefault="001B2C27" w:rsidP="00632C9B">
      <w:pPr>
        <w:pStyle w:val="BodyText"/>
      </w:pPr>
    </w:p>
    <w:p w14:paraId="67A1FA52" w14:textId="1088494D" w:rsidR="001B2C27" w:rsidRPr="00A417FB" w:rsidRDefault="00253E8A" w:rsidP="00632C9B">
      <w:r w:rsidRPr="00A417FB">
        <w:t xml:space="preserve">Jerome </w:t>
      </w:r>
      <w:proofErr w:type="spellStart"/>
      <w:r w:rsidRPr="00A417FB">
        <w:t>Karabel</w:t>
      </w:r>
      <w:proofErr w:type="spellEnd"/>
      <w:r w:rsidRPr="00A417FB">
        <w:t xml:space="preserve">, “Polish Intellectuals and the Origins of Solidarity: The Making of an Oppositional Alliance,” </w:t>
      </w:r>
      <w:r w:rsidRPr="00A417FB">
        <w:rPr>
          <w:i/>
        </w:rPr>
        <w:t>Communist and Post-Communist Studies</w:t>
      </w:r>
      <w:r w:rsidRPr="00A417FB">
        <w:t>, Vol. 26, No. 1, 1993.</w:t>
      </w:r>
    </w:p>
    <w:p w14:paraId="5770B902" w14:textId="1A7657BF" w:rsidR="00A417FB" w:rsidRPr="00A417FB" w:rsidRDefault="00A417FB" w:rsidP="00632C9B"/>
    <w:p w14:paraId="7D9B0F7F" w14:textId="62905124" w:rsidR="00A417FB" w:rsidRPr="00A417FB" w:rsidRDefault="00A417FB" w:rsidP="00A417FB">
      <w:r w:rsidRPr="00A417FB">
        <w:t xml:space="preserve">Emma Mateo, </w:t>
      </w:r>
      <w:r w:rsidRPr="00A417FB">
        <w:rPr>
          <w:color w:val="201F1E"/>
          <w:shd w:val="clear" w:color="auto" w:fill="FFFFFF"/>
        </w:rPr>
        <w:t xml:space="preserve">‘“All of Belarus </w:t>
      </w:r>
      <w:r>
        <w:rPr>
          <w:color w:val="201F1E"/>
          <w:shd w:val="clear" w:color="auto" w:fill="FFFFFF"/>
        </w:rPr>
        <w:t>H</w:t>
      </w:r>
      <w:r w:rsidRPr="00A417FB">
        <w:rPr>
          <w:color w:val="201F1E"/>
          <w:shd w:val="clear" w:color="auto" w:fill="FFFFFF"/>
        </w:rPr>
        <w:t xml:space="preserve">as </w:t>
      </w:r>
      <w:r>
        <w:rPr>
          <w:color w:val="201F1E"/>
          <w:shd w:val="clear" w:color="auto" w:fill="FFFFFF"/>
        </w:rPr>
        <w:t>C</w:t>
      </w:r>
      <w:r w:rsidRPr="00A417FB">
        <w:rPr>
          <w:color w:val="201F1E"/>
          <w:shd w:val="clear" w:color="auto" w:fill="FFFFFF"/>
        </w:rPr>
        <w:t xml:space="preserve">ome </w:t>
      </w:r>
      <w:r>
        <w:rPr>
          <w:color w:val="201F1E"/>
          <w:shd w:val="clear" w:color="auto" w:fill="FFFFFF"/>
        </w:rPr>
        <w:t>O</w:t>
      </w:r>
      <w:r w:rsidRPr="00A417FB">
        <w:rPr>
          <w:color w:val="201F1E"/>
          <w:shd w:val="clear" w:color="auto" w:fill="FFFFFF"/>
        </w:rPr>
        <w:t xml:space="preserve">ut onto the </w:t>
      </w:r>
      <w:r>
        <w:rPr>
          <w:color w:val="201F1E"/>
          <w:shd w:val="clear" w:color="auto" w:fill="FFFFFF"/>
        </w:rPr>
        <w:t>S</w:t>
      </w:r>
      <w:r w:rsidRPr="00A417FB">
        <w:rPr>
          <w:color w:val="201F1E"/>
          <w:shd w:val="clear" w:color="auto" w:fill="FFFFFF"/>
        </w:rPr>
        <w:t>treets</w:t>
      </w:r>
      <w:r>
        <w:rPr>
          <w:color w:val="201F1E"/>
          <w:shd w:val="clear" w:color="auto" w:fill="FFFFFF"/>
        </w:rPr>
        <w:t>’</w:t>
      </w:r>
      <w:r w:rsidRPr="00A417FB">
        <w:rPr>
          <w:color w:val="201F1E"/>
          <w:shd w:val="clear" w:color="auto" w:fill="FFFFFF"/>
        </w:rPr>
        <w:t>: Exploring Nationwide Protest and the Role of Pre-</w:t>
      </w:r>
      <w:r w:rsidR="00CC42EE">
        <w:rPr>
          <w:color w:val="201F1E"/>
          <w:shd w:val="clear" w:color="auto" w:fill="FFFFFF"/>
        </w:rPr>
        <w:t>E</w:t>
      </w:r>
      <w:r w:rsidRPr="00A417FB">
        <w:rPr>
          <w:color w:val="201F1E"/>
          <w:shd w:val="clear" w:color="auto" w:fill="FFFFFF"/>
        </w:rPr>
        <w:t>xisting Social Networks</w:t>
      </w:r>
      <w:r>
        <w:rPr>
          <w:color w:val="201F1E"/>
          <w:shd w:val="clear" w:color="auto" w:fill="FFFFFF"/>
        </w:rPr>
        <w:t xml:space="preserve">,” </w:t>
      </w:r>
      <w:r w:rsidRPr="00A417FB">
        <w:rPr>
          <w:i/>
          <w:iCs/>
          <w:color w:val="201F1E"/>
          <w:shd w:val="clear" w:color="auto" w:fill="FFFFFF"/>
        </w:rPr>
        <w:t>Post</w:t>
      </w:r>
      <w:r>
        <w:rPr>
          <w:i/>
          <w:iCs/>
          <w:color w:val="201F1E"/>
          <w:shd w:val="clear" w:color="auto" w:fill="FFFFFF"/>
        </w:rPr>
        <w:t>-</w:t>
      </w:r>
      <w:r w:rsidRPr="00A417FB">
        <w:rPr>
          <w:i/>
          <w:iCs/>
          <w:color w:val="201F1E"/>
          <w:shd w:val="clear" w:color="auto" w:fill="FFFFFF"/>
        </w:rPr>
        <w:t>Soviet Affairs</w:t>
      </w:r>
      <w:r>
        <w:rPr>
          <w:color w:val="201F1E"/>
          <w:shd w:val="clear" w:color="auto" w:fill="FFFFFF"/>
        </w:rPr>
        <w:t>,</w:t>
      </w:r>
      <w:r w:rsidR="00C43736">
        <w:rPr>
          <w:color w:val="201F1E"/>
          <w:shd w:val="clear" w:color="auto" w:fill="FFFFFF"/>
        </w:rPr>
        <w:t xml:space="preserve"> </w:t>
      </w:r>
      <w:r>
        <w:rPr>
          <w:color w:val="201F1E"/>
          <w:shd w:val="clear" w:color="auto" w:fill="FFFFFF"/>
        </w:rPr>
        <w:t>2022:</w:t>
      </w:r>
      <w:r w:rsidRPr="00A417FB">
        <w:rPr>
          <w:i/>
          <w:iCs/>
          <w:color w:val="201F1E"/>
          <w:shd w:val="clear" w:color="auto" w:fill="FFFFFF"/>
        </w:rPr>
        <w:t> </w:t>
      </w:r>
      <w:hyperlink r:id="rId9" w:tgtFrame="_blank" w:history="1">
        <w:r w:rsidRPr="00A417FB">
          <w:rPr>
            <w:color w:val="0000FF"/>
            <w:u w:val="single"/>
            <w:bdr w:val="none" w:sz="0" w:space="0" w:color="auto" w:frame="1"/>
            <w:shd w:val="clear" w:color="auto" w:fill="FFFFFF"/>
          </w:rPr>
          <w:t>http://dx.doi.org/10.1080/1060586X.2022.2026127</w:t>
        </w:r>
      </w:hyperlink>
      <w:r>
        <w:t>.</w:t>
      </w:r>
    </w:p>
    <w:p w14:paraId="41FF9E10" w14:textId="77777777" w:rsidR="003B79FD" w:rsidRPr="00A417FB" w:rsidRDefault="003B79FD" w:rsidP="00632C9B"/>
    <w:p w14:paraId="35C1A686" w14:textId="31CFC1BF" w:rsidR="003B79FD" w:rsidRDefault="003B79FD" w:rsidP="006B6271">
      <w:pPr>
        <w:pStyle w:val="BodyText"/>
        <w:sectPr w:rsidR="003B79FD">
          <w:pgSz w:w="12240" w:h="15840"/>
          <w:pgMar w:top="1360" w:right="1620" w:bottom="980" w:left="1680" w:header="0" w:footer="791" w:gutter="0"/>
          <w:cols w:space="720"/>
        </w:sectPr>
      </w:pPr>
      <w:proofErr w:type="spellStart"/>
      <w:r w:rsidRPr="00A417FB">
        <w:t>Lisel</w:t>
      </w:r>
      <w:proofErr w:type="spellEnd"/>
      <w:r w:rsidRPr="00A417FB">
        <w:t xml:space="preserve"> Hintz, “The Might of the Pen(</w:t>
      </w:r>
      <w:proofErr w:type="spellStart"/>
      <w:r w:rsidRPr="00A417FB">
        <w:t>guin</w:t>
      </w:r>
      <w:proofErr w:type="spellEnd"/>
      <w:r w:rsidRPr="00A417FB">
        <w:t xml:space="preserve">) in Turkey’s Protests,” </w:t>
      </w:r>
      <w:r w:rsidRPr="00A417FB">
        <w:rPr>
          <w:i/>
        </w:rPr>
        <w:t>Foreign Policy</w:t>
      </w:r>
      <w:r w:rsidRPr="00A417FB">
        <w:t>, 10 June 2013.</w:t>
      </w:r>
    </w:p>
    <w:p w14:paraId="1C1B414A" w14:textId="5C851760" w:rsidR="00AD1220" w:rsidRDefault="00126EE6" w:rsidP="006B6271">
      <w:pPr>
        <w:pStyle w:val="Heading1"/>
        <w:ind w:left="0"/>
        <w:jc w:val="center"/>
      </w:pPr>
      <w:r>
        <w:lastRenderedPageBreak/>
        <w:t xml:space="preserve">Week 3, February </w:t>
      </w:r>
      <w:r w:rsidR="003B3125">
        <w:t>9</w:t>
      </w:r>
    </w:p>
    <w:p w14:paraId="2A71198E" w14:textId="3B8B2BC0" w:rsidR="001B2C27" w:rsidRDefault="00253E8A" w:rsidP="00632C9B">
      <w:pPr>
        <w:pStyle w:val="Heading1"/>
        <w:ind w:left="0"/>
        <w:jc w:val="center"/>
      </w:pPr>
      <w:r>
        <w:t xml:space="preserve">Mechanisms of </w:t>
      </w:r>
      <w:r w:rsidR="00FD7D70">
        <w:t>Diffusion</w:t>
      </w:r>
      <w:r>
        <w:t xml:space="preserve">: How </w:t>
      </w:r>
      <w:r w:rsidR="00AD1220">
        <w:t>Mobilization</w:t>
      </w:r>
      <w:r>
        <w:rPr>
          <w:spacing w:val="-13"/>
        </w:rPr>
        <w:t xml:space="preserve"> </w:t>
      </w:r>
      <w:r w:rsidR="00BB7D3A">
        <w:t>Spreads</w:t>
      </w:r>
    </w:p>
    <w:p w14:paraId="43E95477" w14:textId="77777777" w:rsidR="00507C04" w:rsidRDefault="00507C04" w:rsidP="00632C9B"/>
    <w:p w14:paraId="2AC33134" w14:textId="0F7CB974" w:rsidR="001B2C27" w:rsidRPr="00B57FF8" w:rsidRDefault="00253E8A" w:rsidP="00B57FF8">
      <w:pPr>
        <w:rPr>
          <w:iCs/>
        </w:rPr>
      </w:pPr>
      <w:r>
        <w:t xml:space="preserve">Mark </w:t>
      </w:r>
      <w:proofErr w:type="spellStart"/>
      <w:r>
        <w:t>Beissinger</w:t>
      </w:r>
      <w:proofErr w:type="spellEnd"/>
      <w:r>
        <w:t xml:space="preserve">, </w:t>
      </w:r>
      <w:r w:rsidR="00B57FF8">
        <w:rPr>
          <w:iCs/>
        </w:rPr>
        <w:t xml:space="preserve">“Structure and Example in Modular Political Phenomena: The Diffusion of Bulldozer/Rose/Orange/Tulip Revolutions,” </w:t>
      </w:r>
      <w:r w:rsidR="00B57FF8" w:rsidRPr="00B57FF8">
        <w:rPr>
          <w:i/>
        </w:rPr>
        <w:t>Perspectives on Politics</w:t>
      </w:r>
      <w:r w:rsidR="00B57FF8">
        <w:rPr>
          <w:iCs/>
        </w:rPr>
        <w:t>, Vol. 5, No. 2, 2007.</w:t>
      </w:r>
    </w:p>
    <w:p w14:paraId="668E332B" w14:textId="77777777" w:rsidR="00FD7D70" w:rsidRDefault="00FD7D70" w:rsidP="00632C9B">
      <w:pPr>
        <w:pStyle w:val="BodyText"/>
      </w:pPr>
    </w:p>
    <w:p w14:paraId="2CB32B48" w14:textId="5FCB78BE" w:rsidR="001B2C27" w:rsidRDefault="00253E8A" w:rsidP="00632C9B">
      <w:pPr>
        <w:pStyle w:val="BodyText"/>
      </w:pPr>
      <w:r>
        <w:t xml:space="preserve">Christian Scholl, “Europe as Contagious Space: Cross-border Diffusion through </w:t>
      </w:r>
      <w:proofErr w:type="spellStart"/>
      <w:r>
        <w:t>EuroMayday</w:t>
      </w:r>
      <w:proofErr w:type="spellEnd"/>
      <w:r>
        <w:t xml:space="preserve"> and Climate Justice Movements,”</w:t>
      </w:r>
      <w:r w:rsidR="00632C9B">
        <w:t xml:space="preserve"> </w:t>
      </w:r>
      <w:r>
        <w:t xml:space="preserve">in Cristina Flesher </w:t>
      </w:r>
      <w:proofErr w:type="spellStart"/>
      <w:r>
        <w:t>Fominaya</w:t>
      </w:r>
      <w:proofErr w:type="spellEnd"/>
      <w:r>
        <w:t xml:space="preserve"> and Laurence Cox (eds.) </w:t>
      </w:r>
      <w:r>
        <w:rPr>
          <w:i/>
        </w:rPr>
        <w:t xml:space="preserve">Understanding European Movements </w:t>
      </w:r>
      <w:r w:rsidR="00632C9B">
        <w:t>(</w:t>
      </w:r>
      <w:r>
        <w:t>Routledge, 2013).</w:t>
      </w:r>
    </w:p>
    <w:p w14:paraId="1BE3F641" w14:textId="136ADE4D" w:rsidR="00507C04" w:rsidRDefault="00507C04" w:rsidP="00632C9B">
      <w:pPr>
        <w:pStyle w:val="BodyText"/>
      </w:pPr>
    </w:p>
    <w:p w14:paraId="0F24F159" w14:textId="6EDB0461" w:rsidR="009E4655" w:rsidRDefault="00507C04" w:rsidP="00632C9B">
      <w:pPr>
        <w:pStyle w:val="BodyText"/>
      </w:pPr>
      <w:r>
        <w:t xml:space="preserve">Paolo </w:t>
      </w:r>
      <w:proofErr w:type="spellStart"/>
      <w:r>
        <w:t>Gerbaudo</w:t>
      </w:r>
      <w:proofErr w:type="spellEnd"/>
      <w:r>
        <w:t xml:space="preserve">, “Rousing the Facebook Crowd: Digital Enthusiasm and Emotional Contagion in the 2011 Protests in Egypt and Spain,” </w:t>
      </w:r>
      <w:r w:rsidRPr="007A5524">
        <w:rPr>
          <w:i/>
          <w:iCs/>
        </w:rPr>
        <w:t>International Journal of Communication</w:t>
      </w:r>
      <w:r>
        <w:t>, Vol. 10, 2016.</w:t>
      </w:r>
    </w:p>
    <w:p w14:paraId="3C052B56" w14:textId="2D5C5D48" w:rsidR="00BB7D3A" w:rsidRDefault="00BB7D3A" w:rsidP="00632C9B">
      <w:pPr>
        <w:pStyle w:val="BodyText"/>
      </w:pPr>
    </w:p>
    <w:p w14:paraId="1076ED2B" w14:textId="4A808DE3" w:rsidR="004973C0" w:rsidRDefault="004973C0" w:rsidP="004973C0">
      <w:pPr>
        <w:contextualSpacing/>
      </w:pPr>
      <w:proofErr w:type="spellStart"/>
      <w:r w:rsidRPr="0085433D">
        <w:t>Evgeny</w:t>
      </w:r>
      <w:proofErr w:type="spellEnd"/>
      <w:r w:rsidRPr="0085433D">
        <w:t xml:space="preserve"> Finkel and Yitzhak </w:t>
      </w:r>
      <w:proofErr w:type="spellStart"/>
      <w:r w:rsidRPr="0085433D">
        <w:t>Brudny</w:t>
      </w:r>
      <w:proofErr w:type="spellEnd"/>
      <w:r w:rsidRPr="0085433D">
        <w:t xml:space="preserve">, “No More </w:t>
      </w:r>
      <w:proofErr w:type="spellStart"/>
      <w:r w:rsidRPr="0085433D">
        <w:t>Colour</w:t>
      </w:r>
      <w:proofErr w:type="spellEnd"/>
      <w:r w:rsidRPr="0085433D">
        <w:t xml:space="preserve">! Authoritarian Regimes and </w:t>
      </w:r>
      <w:proofErr w:type="spellStart"/>
      <w:r w:rsidRPr="0085433D">
        <w:t>Colour</w:t>
      </w:r>
      <w:proofErr w:type="spellEnd"/>
      <w:r w:rsidRPr="0085433D">
        <w:t xml:space="preserve"> Revolutions in Eurasia,” </w:t>
      </w:r>
      <w:r w:rsidRPr="0085433D">
        <w:rPr>
          <w:i/>
        </w:rPr>
        <w:t>Democratization</w:t>
      </w:r>
      <w:r w:rsidRPr="0085433D">
        <w:t>, Vol. 19, No. 1, 2012.</w:t>
      </w:r>
    </w:p>
    <w:p w14:paraId="40D01E7F" w14:textId="0B2ED099" w:rsidR="009E4655" w:rsidRDefault="009E4655" w:rsidP="004973C0">
      <w:pPr>
        <w:contextualSpacing/>
      </w:pPr>
    </w:p>
    <w:p w14:paraId="1E05249F" w14:textId="3E81CBEE" w:rsidR="009E4655" w:rsidRDefault="009E4655" w:rsidP="009E4655">
      <w:pPr>
        <w:pStyle w:val="BodyText"/>
      </w:pPr>
      <w:r>
        <w:t xml:space="preserve">Carnegie Council, “From Resistance to Revolution and Back Again: What Egyptian Youth Can Learn from </w:t>
      </w:r>
      <w:proofErr w:type="spellStart"/>
      <w:r>
        <w:t>Otpor</w:t>
      </w:r>
      <w:proofErr w:type="spellEnd"/>
      <w:r>
        <w:t xml:space="preserve"> When Its Activists Leave Tahrir Square,” 18 February 2011.</w:t>
      </w:r>
    </w:p>
    <w:p w14:paraId="14794207" w14:textId="0AE6D4D9" w:rsidR="00EF4232" w:rsidRDefault="00EF4232" w:rsidP="009E4655">
      <w:pPr>
        <w:pStyle w:val="BodyText"/>
      </w:pPr>
    </w:p>
    <w:p w14:paraId="445D978D" w14:textId="47EBCF1C" w:rsidR="001B2C27" w:rsidRPr="006B6271" w:rsidRDefault="00EF4232" w:rsidP="00632C9B">
      <w:pPr>
        <w:pStyle w:val="BodyText"/>
      </w:pPr>
      <w:proofErr w:type="spellStart"/>
      <w:r>
        <w:t>Merouan</w:t>
      </w:r>
      <w:proofErr w:type="spellEnd"/>
      <w:r>
        <w:t xml:space="preserve"> </w:t>
      </w:r>
      <w:proofErr w:type="spellStart"/>
      <w:r>
        <w:t>Mekouar</w:t>
      </w:r>
      <w:proofErr w:type="spellEnd"/>
      <w:r>
        <w:t xml:space="preserve">, “What Really Made the Arab Uprisings Contagious?” </w:t>
      </w:r>
      <w:r w:rsidRPr="00EF4232">
        <w:rPr>
          <w:i/>
          <w:iCs/>
        </w:rPr>
        <w:t xml:space="preserve">The Washington Post </w:t>
      </w:r>
      <w:r>
        <w:t>(Monkey Cage blog), 13 June 2014.</w:t>
      </w:r>
    </w:p>
    <w:p w14:paraId="558BE20D" w14:textId="0E04BDF1" w:rsidR="001B2C27" w:rsidRDefault="00126EE6" w:rsidP="00632C9B">
      <w:pPr>
        <w:pStyle w:val="Heading1"/>
        <w:spacing w:before="189"/>
        <w:ind w:left="0"/>
        <w:jc w:val="center"/>
      </w:pPr>
      <w:r>
        <w:t>Week 4, February 1</w:t>
      </w:r>
      <w:r w:rsidR="003B3125">
        <w:t>6</w:t>
      </w:r>
    </w:p>
    <w:p w14:paraId="726BE0CA" w14:textId="400C967E" w:rsidR="001B2C27" w:rsidRDefault="00253E8A" w:rsidP="00632C9B">
      <w:pPr>
        <w:jc w:val="center"/>
        <w:rPr>
          <w:b/>
        </w:rPr>
      </w:pPr>
      <w:r>
        <w:rPr>
          <w:b/>
        </w:rPr>
        <w:t xml:space="preserve">Violence </w:t>
      </w:r>
      <w:r w:rsidR="008B3791">
        <w:rPr>
          <w:b/>
        </w:rPr>
        <w:t>and Mobilization</w:t>
      </w:r>
      <w:r>
        <w:rPr>
          <w:b/>
        </w:rPr>
        <w:t xml:space="preserve"> </w:t>
      </w:r>
    </w:p>
    <w:p w14:paraId="2F9B9DF2" w14:textId="77777777" w:rsidR="001B2C27" w:rsidRDefault="001B2C27" w:rsidP="00632C9B">
      <w:pPr>
        <w:pStyle w:val="BodyText"/>
        <w:spacing w:before="7"/>
        <w:rPr>
          <w:b/>
          <w:sz w:val="23"/>
        </w:rPr>
      </w:pPr>
    </w:p>
    <w:p w14:paraId="00070A6F" w14:textId="77777777" w:rsidR="001B2C27" w:rsidRDefault="00253E8A" w:rsidP="00632C9B">
      <w:pPr>
        <w:pStyle w:val="BodyText"/>
      </w:pPr>
      <w:r>
        <w:t xml:space="preserve">Donatella </w:t>
      </w:r>
      <w:proofErr w:type="spellStart"/>
      <w:r>
        <w:t>della</w:t>
      </w:r>
      <w:proofErr w:type="spellEnd"/>
      <w:r>
        <w:t xml:space="preserve"> Porta, “Research on Social Movements and Political Violence,”</w:t>
      </w:r>
    </w:p>
    <w:p w14:paraId="2927FCAC" w14:textId="77777777" w:rsidR="001B2C27" w:rsidRDefault="00253E8A" w:rsidP="00632C9B">
      <w:r>
        <w:rPr>
          <w:i/>
        </w:rPr>
        <w:t>Qualitative Sociology</w:t>
      </w:r>
      <w:r>
        <w:t>, Vol. 31, No. 3, 2008.</w:t>
      </w:r>
    </w:p>
    <w:p w14:paraId="0FEFC040" w14:textId="77777777" w:rsidR="001B2C27" w:rsidRDefault="001B2C27" w:rsidP="00632C9B">
      <w:pPr>
        <w:pStyle w:val="BodyText"/>
      </w:pPr>
    </w:p>
    <w:p w14:paraId="7BAF0F25" w14:textId="77777777" w:rsidR="001B2C27" w:rsidRDefault="00253E8A" w:rsidP="00632C9B">
      <w:pPr>
        <w:pStyle w:val="BodyText"/>
      </w:pPr>
      <w:proofErr w:type="spellStart"/>
      <w:r>
        <w:t>Serhiy</w:t>
      </w:r>
      <w:proofErr w:type="spellEnd"/>
      <w:r>
        <w:t xml:space="preserve"> </w:t>
      </w:r>
      <w:proofErr w:type="spellStart"/>
      <w:r>
        <w:t>Kudelia</w:t>
      </w:r>
      <w:proofErr w:type="spellEnd"/>
      <w:r>
        <w:t xml:space="preserve">, “When Numbers Are Not Enough: The Strategic Use of Violence in Ukraine’s 2014 Protests,” </w:t>
      </w:r>
      <w:r>
        <w:rPr>
          <w:i/>
        </w:rPr>
        <w:t>Comparative Politics</w:t>
      </w:r>
      <w:r>
        <w:t>, Vol. 50, No. 4, 2018.</w:t>
      </w:r>
    </w:p>
    <w:p w14:paraId="05E4EB9E" w14:textId="77777777" w:rsidR="001B2C27" w:rsidRDefault="001B2C27" w:rsidP="00632C9B">
      <w:pPr>
        <w:pStyle w:val="BodyText"/>
      </w:pPr>
    </w:p>
    <w:p w14:paraId="3A2FB28A" w14:textId="5110A9DE" w:rsidR="001B2C27" w:rsidRDefault="00253E8A" w:rsidP="00632C9B">
      <w:pPr>
        <w:pStyle w:val="BodyText"/>
      </w:pPr>
      <w:proofErr w:type="spellStart"/>
      <w:r>
        <w:t>Güneş</w:t>
      </w:r>
      <w:proofErr w:type="spellEnd"/>
      <w:r>
        <w:t xml:space="preserve"> Murat </w:t>
      </w:r>
      <w:proofErr w:type="spellStart"/>
      <w:r>
        <w:t>Tezcür</w:t>
      </w:r>
      <w:proofErr w:type="spellEnd"/>
      <w:r>
        <w:t xml:space="preserve">, “Violence and Nationalist Mobilization: The Onset of the Kurdish Insurgency in Turkey,” </w:t>
      </w:r>
      <w:r>
        <w:rPr>
          <w:i/>
        </w:rPr>
        <w:t>Nationalities Papers</w:t>
      </w:r>
      <w:r>
        <w:t>, Vol. 43, No. 2, 2015.</w:t>
      </w:r>
    </w:p>
    <w:p w14:paraId="07517F5F" w14:textId="5C902232" w:rsidR="00885033" w:rsidRDefault="00885033" w:rsidP="00632C9B">
      <w:pPr>
        <w:pStyle w:val="BodyText"/>
      </w:pPr>
    </w:p>
    <w:p w14:paraId="207CCB55" w14:textId="53DDDBB4" w:rsidR="00885033" w:rsidRDefault="00885033" w:rsidP="00632C9B">
      <w:pPr>
        <w:pStyle w:val="BodyText"/>
      </w:pPr>
      <w:r>
        <w:t xml:space="preserve">Hans-Peter van den Broek, “Labeling and Legitimization: Justifying Political Violence in the Basque Country,” </w:t>
      </w:r>
      <w:r>
        <w:rPr>
          <w:i/>
        </w:rPr>
        <w:t>Terrorism and Political Violence</w:t>
      </w:r>
      <w:r>
        <w:t>, Vol. 29, No. 1, 2017.</w:t>
      </w:r>
    </w:p>
    <w:p w14:paraId="320FDDD5" w14:textId="77777777" w:rsidR="005C06F3" w:rsidRDefault="005C06F3" w:rsidP="00632C9B">
      <w:pPr>
        <w:pStyle w:val="BodyText"/>
      </w:pPr>
    </w:p>
    <w:p w14:paraId="3F47D36E" w14:textId="471ED655" w:rsidR="00885033" w:rsidRDefault="00885033" w:rsidP="00632C9B">
      <w:pPr>
        <w:pStyle w:val="BodyText"/>
      </w:pPr>
      <w:proofErr w:type="spellStart"/>
      <w:r>
        <w:t>Jais</w:t>
      </w:r>
      <w:proofErr w:type="spellEnd"/>
      <w:r>
        <w:t xml:space="preserve"> Adam-</w:t>
      </w:r>
      <w:proofErr w:type="spellStart"/>
      <w:r>
        <w:t>Troian</w:t>
      </w:r>
      <w:proofErr w:type="spellEnd"/>
      <w:r>
        <w:t xml:space="preserve">, </w:t>
      </w:r>
      <w:proofErr w:type="spellStart"/>
      <w:r>
        <w:t>Elif</w:t>
      </w:r>
      <w:proofErr w:type="spellEnd"/>
      <w:r>
        <w:t xml:space="preserve"> </w:t>
      </w:r>
      <w:r>
        <w:rPr>
          <w:lang w:val="tr-TR"/>
        </w:rPr>
        <w:t>Çelebi</w:t>
      </w:r>
      <w:r>
        <w:t xml:space="preserve">, and Yara </w:t>
      </w:r>
      <w:proofErr w:type="spellStart"/>
      <w:r>
        <w:t>Mafhud</w:t>
      </w:r>
      <w:proofErr w:type="spellEnd"/>
      <w:r>
        <w:t xml:space="preserve">, “‘Return of the Repressed’: Exposure to </w:t>
      </w:r>
      <w:r w:rsidRPr="00564E48">
        <w:t>Police</w:t>
      </w:r>
      <w:r>
        <w:t xml:space="preserve"> Violence Increases Protest and Self-Sacrifice Intentions for the </w:t>
      </w:r>
      <w:r w:rsidRPr="00885033">
        <w:rPr>
          <w:i/>
          <w:iCs/>
        </w:rPr>
        <w:t>Yellow Vests</w:t>
      </w:r>
      <w:r>
        <w:t xml:space="preserve">,” </w:t>
      </w:r>
      <w:r w:rsidR="00553295" w:rsidRPr="00553295">
        <w:rPr>
          <w:i/>
          <w:iCs/>
        </w:rPr>
        <w:t>Group Processes and Intergroup Relations</w:t>
      </w:r>
      <w:r w:rsidR="00553295">
        <w:t xml:space="preserve">, </w:t>
      </w:r>
      <w:r>
        <w:t>Vol. 23, No. 8, 2020.</w:t>
      </w:r>
    </w:p>
    <w:p w14:paraId="722A1B51" w14:textId="77777777" w:rsidR="00885033" w:rsidRDefault="00885033" w:rsidP="00632C9B">
      <w:pPr>
        <w:pStyle w:val="BodyText"/>
      </w:pPr>
    </w:p>
    <w:p w14:paraId="25BE06BA" w14:textId="4186F9CE" w:rsidR="005C06F3" w:rsidRDefault="005C06F3" w:rsidP="00632C9B">
      <w:pPr>
        <w:pStyle w:val="BodyText"/>
      </w:pPr>
      <w:r>
        <w:t xml:space="preserve">Kai Thaler, “Violence Is Sometimes the Answer,” </w:t>
      </w:r>
      <w:r w:rsidRPr="005C06F3">
        <w:rPr>
          <w:i/>
        </w:rPr>
        <w:t>Foreign Policy</w:t>
      </w:r>
      <w:r>
        <w:t>, 5 December 2019.</w:t>
      </w:r>
    </w:p>
    <w:p w14:paraId="5E1577F5" w14:textId="77777777" w:rsidR="002D67D1" w:rsidRDefault="002D67D1" w:rsidP="00632C9B">
      <w:pPr>
        <w:pStyle w:val="BodyText"/>
      </w:pPr>
    </w:p>
    <w:p w14:paraId="27712992" w14:textId="77777777" w:rsidR="007A5AB3" w:rsidRDefault="007A5AB3" w:rsidP="00632C9B">
      <w:pPr>
        <w:pStyle w:val="BodyText"/>
      </w:pPr>
      <w:r>
        <w:t xml:space="preserve">David McArdle and Manuel </w:t>
      </w:r>
      <w:proofErr w:type="spellStart"/>
      <w:r>
        <w:t>Veth</w:t>
      </w:r>
      <w:proofErr w:type="spellEnd"/>
      <w:r>
        <w:t xml:space="preserve">, “Ukrainian Ultras and the Unorthodox Revolution,” </w:t>
      </w:r>
      <w:r w:rsidRPr="006B6271">
        <w:rPr>
          <w:i/>
          <w:iCs/>
        </w:rPr>
        <w:t>Futbolgrad.com</w:t>
      </w:r>
      <w:r>
        <w:t>, 11 February 2014</w:t>
      </w:r>
      <w:r w:rsidR="006B6271">
        <w:t>.</w:t>
      </w:r>
    </w:p>
    <w:p w14:paraId="0D7BD649" w14:textId="77777777" w:rsidR="00835DB5" w:rsidRDefault="00835DB5" w:rsidP="00632C9B">
      <w:pPr>
        <w:pStyle w:val="BodyText"/>
      </w:pPr>
    </w:p>
    <w:p w14:paraId="62D86B96" w14:textId="77777777" w:rsidR="00835DB5" w:rsidRDefault="00835DB5" w:rsidP="00835DB5">
      <w:pPr>
        <w:pStyle w:val="BodyText"/>
      </w:pPr>
      <w:r>
        <w:t xml:space="preserve">Ryan Enos, Aaron Kaufman, and Melissa Sands, “Will the Violent Yellow Vest Protests Backfire?” </w:t>
      </w:r>
      <w:r w:rsidRPr="002D67D1">
        <w:rPr>
          <w:i/>
          <w:iCs/>
        </w:rPr>
        <w:t>The Washington Post</w:t>
      </w:r>
      <w:r>
        <w:t xml:space="preserve"> (Monkey Cage blog), 11 December 2018.</w:t>
      </w:r>
    </w:p>
    <w:p w14:paraId="7750B807" w14:textId="644A3262" w:rsidR="00835DB5" w:rsidRDefault="00835DB5" w:rsidP="00632C9B">
      <w:pPr>
        <w:pStyle w:val="BodyText"/>
        <w:sectPr w:rsidR="00835DB5">
          <w:pgSz w:w="12240" w:h="15840"/>
          <w:pgMar w:top="1360" w:right="1620" w:bottom="980" w:left="1680" w:header="0" w:footer="791" w:gutter="0"/>
          <w:cols w:space="720"/>
        </w:sectPr>
      </w:pPr>
    </w:p>
    <w:p w14:paraId="27AD54E5" w14:textId="3EDD728B" w:rsidR="001B2C27" w:rsidRDefault="00253E8A" w:rsidP="00632C9B">
      <w:pPr>
        <w:pStyle w:val="Heading1"/>
        <w:spacing w:before="79"/>
        <w:ind w:left="0"/>
        <w:jc w:val="center"/>
      </w:pPr>
      <w:r>
        <w:lastRenderedPageBreak/>
        <w:t xml:space="preserve">Week 5, February </w:t>
      </w:r>
      <w:r w:rsidR="00126EE6">
        <w:t>2</w:t>
      </w:r>
      <w:r w:rsidR="003B3125">
        <w:t>3</w:t>
      </w:r>
    </w:p>
    <w:p w14:paraId="62C685D2" w14:textId="74756117" w:rsidR="00C95F6F" w:rsidRDefault="00350C11" w:rsidP="00632C9B">
      <w:pPr>
        <w:jc w:val="center"/>
        <w:rPr>
          <w:b/>
        </w:rPr>
      </w:pPr>
      <w:r>
        <w:rPr>
          <w:b/>
        </w:rPr>
        <w:t xml:space="preserve">ICTs, </w:t>
      </w:r>
      <w:proofErr w:type="gramStart"/>
      <w:r w:rsidR="00F2046C">
        <w:rPr>
          <w:b/>
        </w:rPr>
        <w:t>Social Media</w:t>
      </w:r>
      <w:proofErr w:type="gramEnd"/>
      <w:r>
        <w:rPr>
          <w:b/>
        </w:rPr>
        <w:t>,</w:t>
      </w:r>
      <w:r w:rsidR="00C95F6F">
        <w:rPr>
          <w:b/>
        </w:rPr>
        <w:t xml:space="preserve"> and Mobilization</w:t>
      </w:r>
    </w:p>
    <w:p w14:paraId="7508BB07" w14:textId="77777777" w:rsidR="00C95F6F" w:rsidRDefault="00C95F6F" w:rsidP="00632C9B">
      <w:pPr>
        <w:pStyle w:val="BodyText"/>
        <w:spacing w:before="6"/>
        <w:rPr>
          <w:b/>
          <w:sz w:val="23"/>
        </w:rPr>
      </w:pPr>
    </w:p>
    <w:p w14:paraId="6AFBF167" w14:textId="4E2C5CE3" w:rsidR="00C95F6F" w:rsidRDefault="00C95F6F" w:rsidP="00632C9B">
      <w:pPr>
        <w:pStyle w:val="BodyText"/>
        <w:spacing w:before="1"/>
      </w:pPr>
      <w:r>
        <w:t xml:space="preserve">Sean </w:t>
      </w:r>
      <w:proofErr w:type="spellStart"/>
      <w:r>
        <w:t>Aday</w:t>
      </w:r>
      <w:proofErr w:type="spellEnd"/>
      <w:r>
        <w:t xml:space="preserve">, Henry Farrell, Marc Lynch, John Sides, and Dean Freelon, “Blogs and Bullets I” </w:t>
      </w:r>
      <w:proofErr w:type="spellStart"/>
      <w:r>
        <w:rPr>
          <w:i/>
        </w:rPr>
        <w:t>Peaceworks</w:t>
      </w:r>
      <w:proofErr w:type="spellEnd"/>
      <w:r>
        <w:rPr>
          <w:i/>
        </w:rPr>
        <w:t xml:space="preserve"> Reports </w:t>
      </w:r>
      <w:r>
        <w:t>published by the US Institute of Peace</w:t>
      </w:r>
      <w:r w:rsidR="00243D6B">
        <w:t>, 2010.</w:t>
      </w:r>
    </w:p>
    <w:p w14:paraId="16F4515A" w14:textId="77777777" w:rsidR="004973C0" w:rsidRDefault="004973C0" w:rsidP="00632C9B">
      <w:pPr>
        <w:pStyle w:val="BodyText"/>
        <w:spacing w:before="1"/>
      </w:pPr>
    </w:p>
    <w:p w14:paraId="0366AD6D" w14:textId="35E197DA" w:rsidR="004973C0" w:rsidRDefault="004973C0" w:rsidP="004973C0">
      <w:pPr>
        <w:pStyle w:val="BodyText"/>
      </w:pPr>
      <w:proofErr w:type="spellStart"/>
      <w:r w:rsidRPr="00EB0967">
        <w:t>Evgeny</w:t>
      </w:r>
      <w:proofErr w:type="spellEnd"/>
      <w:r w:rsidRPr="00EB0967">
        <w:t xml:space="preserve"> Morozov, “Liberation Technology: Whither Internet Control?” </w:t>
      </w:r>
      <w:r w:rsidRPr="00EB0967">
        <w:rPr>
          <w:i/>
        </w:rPr>
        <w:t>Journal of Democracy</w:t>
      </w:r>
      <w:r w:rsidRPr="00EB0967">
        <w:t>, Vol. 22, No.2 62-74 (2010).</w:t>
      </w:r>
    </w:p>
    <w:p w14:paraId="654933C6" w14:textId="77777777" w:rsidR="00D024D7" w:rsidRDefault="00D024D7" w:rsidP="00632C9B">
      <w:pPr>
        <w:pStyle w:val="BodyText"/>
      </w:pPr>
    </w:p>
    <w:p w14:paraId="63596C1C" w14:textId="48DFD676" w:rsidR="00C95F6F" w:rsidRDefault="00C95F6F" w:rsidP="00632C9B">
      <w:pPr>
        <w:pStyle w:val="BodyText"/>
      </w:pPr>
      <w:r>
        <w:t xml:space="preserve">Zeynep </w:t>
      </w:r>
      <w:proofErr w:type="spellStart"/>
      <w:r>
        <w:t>Tüfekçi</w:t>
      </w:r>
      <w:proofErr w:type="spellEnd"/>
      <w:r>
        <w:t xml:space="preserve">, “The Medium and the Movement: Digital Tools, Social Movement Politics, and the End of the </w:t>
      </w:r>
      <w:r w:rsidRPr="00EB0967">
        <w:t xml:space="preserve">Free Rider Problem,” </w:t>
      </w:r>
      <w:r w:rsidRPr="00EB0967">
        <w:rPr>
          <w:i/>
        </w:rPr>
        <w:t>Policy and Internet</w:t>
      </w:r>
      <w:r w:rsidRPr="00EB0967">
        <w:t>, Vol. 6, No. 2, 2014.</w:t>
      </w:r>
    </w:p>
    <w:p w14:paraId="4E334907" w14:textId="20857B6B" w:rsidR="00537697" w:rsidRDefault="00537697" w:rsidP="00632C9B">
      <w:pPr>
        <w:pStyle w:val="BodyText"/>
      </w:pPr>
    </w:p>
    <w:p w14:paraId="3BDC8499" w14:textId="103DEFE9" w:rsidR="00537697" w:rsidRPr="00EB0967" w:rsidRDefault="00537697" w:rsidP="00632C9B">
      <w:pPr>
        <w:pStyle w:val="BodyText"/>
      </w:pPr>
      <w:r>
        <w:t xml:space="preserve">Max </w:t>
      </w:r>
      <w:proofErr w:type="spellStart"/>
      <w:r>
        <w:t>Hanska</w:t>
      </w:r>
      <w:proofErr w:type="spellEnd"/>
      <w:r>
        <w:t xml:space="preserve"> and Stefan </w:t>
      </w:r>
      <w:proofErr w:type="spellStart"/>
      <w:r>
        <w:t>Bauchowitz</w:t>
      </w:r>
      <w:proofErr w:type="spellEnd"/>
      <w:r>
        <w:t xml:space="preserve">, “Can Social Media Facilitate a European Public Sphere? Transnational Communication and the Europeanization of Twitter During the Eurozone Crisis,” </w:t>
      </w:r>
      <w:r w:rsidRPr="00200B66">
        <w:rPr>
          <w:i/>
          <w:iCs/>
        </w:rPr>
        <w:t>Social Media + Society</w:t>
      </w:r>
      <w:r>
        <w:t>, Vol. 5, No. 3, 2019.</w:t>
      </w:r>
    </w:p>
    <w:p w14:paraId="31DC298B" w14:textId="66329069" w:rsidR="00200B66" w:rsidRDefault="00200B66" w:rsidP="00632C9B">
      <w:pPr>
        <w:pStyle w:val="BodyText"/>
      </w:pPr>
    </w:p>
    <w:p w14:paraId="3CDB00F5" w14:textId="7092E6DE" w:rsidR="00200B66" w:rsidRPr="00EB0967" w:rsidRDefault="00537697" w:rsidP="00632C9B">
      <w:pPr>
        <w:pStyle w:val="BodyText"/>
      </w:pPr>
      <w:r>
        <w:t xml:space="preserve">Olga </w:t>
      </w:r>
      <w:proofErr w:type="spellStart"/>
      <w:r>
        <w:t>Onuch</w:t>
      </w:r>
      <w:proofErr w:type="spellEnd"/>
      <w:r>
        <w:t xml:space="preserve">, “’Facebook Helped Me Do It’: Understanding the </w:t>
      </w:r>
      <w:proofErr w:type="spellStart"/>
      <w:r>
        <w:t>EuroMaidan</w:t>
      </w:r>
      <w:proofErr w:type="spellEnd"/>
      <w:r>
        <w:t xml:space="preserve"> Protester ‘Tool-Kit,’” </w:t>
      </w:r>
      <w:r w:rsidRPr="00537697">
        <w:rPr>
          <w:i/>
          <w:iCs/>
        </w:rPr>
        <w:t>Studies in Ethnicity and Nationalism</w:t>
      </w:r>
      <w:r>
        <w:t>, Vol. 15, No. 1, 2015.</w:t>
      </w:r>
    </w:p>
    <w:p w14:paraId="26D9507D" w14:textId="6CC5A880" w:rsidR="00C95F6F" w:rsidRPr="00EB0967" w:rsidRDefault="00C95F6F" w:rsidP="00632C9B">
      <w:pPr>
        <w:pStyle w:val="BodyText"/>
      </w:pPr>
    </w:p>
    <w:p w14:paraId="459FA275" w14:textId="561A9A47" w:rsidR="00C95F6F" w:rsidRDefault="00727EE2" w:rsidP="00632C9B">
      <w:pPr>
        <w:pStyle w:val="BodyText"/>
      </w:pPr>
      <w:r>
        <w:t xml:space="preserve">Isabell </w:t>
      </w:r>
      <w:proofErr w:type="spellStart"/>
      <w:r>
        <w:t>Wutz</w:t>
      </w:r>
      <w:proofErr w:type="spellEnd"/>
      <w:r>
        <w:t xml:space="preserve"> and </w:t>
      </w:r>
      <w:proofErr w:type="spellStart"/>
      <w:r>
        <w:t>Lisanne</w:t>
      </w:r>
      <w:proofErr w:type="spellEnd"/>
      <w:r>
        <w:t xml:space="preserve"> </w:t>
      </w:r>
      <w:proofErr w:type="spellStart"/>
      <w:r>
        <w:t>Nugteren</w:t>
      </w:r>
      <w:proofErr w:type="spellEnd"/>
      <w:r>
        <w:t xml:space="preserve">, “Brexit and Online Political Activism: On Vox Populism, Slacktivism, and Online Intertextuality,” </w:t>
      </w:r>
      <w:proofErr w:type="spellStart"/>
      <w:r w:rsidRPr="0050298F">
        <w:rPr>
          <w:i/>
          <w:iCs/>
        </w:rPr>
        <w:t>Diggit</w:t>
      </w:r>
      <w:proofErr w:type="spellEnd"/>
      <w:r w:rsidRPr="0050298F">
        <w:rPr>
          <w:i/>
          <w:iCs/>
        </w:rPr>
        <w:t xml:space="preserve"> </w:t>
      </w:r>
      <w:r w:rsidRPr="00727EE2">
        <w:rPr>
          <w:i/>
          <w:iCs/>
        </w:rPr>
        <w:t>Magazine</w:t>
      </w:r>
      <w:r>
        <w:t>, 2018.</w:t>
      </w:r>
    </w:p>
    <w:p w14:paraId="559D776C" w14:textId="14FB5E14" w:rsidR="00350C11" w:rsidRDefault="00350C11" w:rsidP="00632C9B">
      <w:pPr>
        <w:pStyle w:val="BodyText"/>
      </w:pPr>
    </w:p>
    <w:p w14:paraId="0A54D1B4" w14:textId="77777777" w:rsidR="00350C11" w:rsidRPr="00EB0967" w:rsidRDefault="00350C11" w:rsidP="00632C9B">
      <w:pPr>
        <w:pStyle w:val="BodyText"/>
      </w:pPr>
    </w:p>
    <w:p w14:paraId="3C9B7AE8" w14:textId="77777777" w:rsidR="005A0C6F" w:rsidRPr="00EB0967" w:rsidRDefault="005A0C6F" w:rsidP="00632C9B">
      <w:pPr>
        <w:pStyle w:val="BodyText"/>
        <w:spacing w:before="5"/>
      </w:pPr>
    </w:p>
    <w:p w14:paraId="0AC33483" w14:textId="4E80B7F9" w:rsidR="001B2C27" w:rsidRPr="00EB0967" w:rsidRDefault="00126EE6" w:rsidP="00632C9B">
      <w:pPr>
        <w:pStyle w:val="Heading1"/>
        <w:ind w:left="0"/>
        <w:jc w:val="center"/>
      </w:pPr>
      <w:r w:rsidRPr="00EB0967">
        <w:t xml:space="preserve">Week 6, March </w:t>
      </w:r>
      <w:r w:rsidR="003B3125" w:rsidRPr="00EB0967">
        <w:t>2</w:t>
      </w:r>
    </w:p>
    <w:p w14:paraId="21678CDC" w14:textId="1ACF9D23" w:rsidR="00C95F6F" w:rsidRPr="00EB0967" w:rsidRDefault="008B3791" w:rsidP="00632C9B">
      <w:pPr>
        <w:jc w:val="center"/>
        <w:rPr>
          <w:b/>
        </w:rPr>
      </w:pPr>
      <w:r w:rsidRPr="00EB0967">
        <w:rPr>
          <w:b/>
        </w:rPr>
        <w:t>Pop Culture and</w:t>
      </w:r>
      <w:r w:rsidR="00C95F6F" w:rsidRPr="00EB0967">
        <w:rPr>
          <w:b/>
        </w:rPr>
        <w:t xml:space="preserve"> Mobilization </w:t>
      </w:r>
    </w:p>
    <w:p w14:paraId="6EBDD7A3" w14:textId="77777777" w:rsidR="00EB0967" w:rsidRPr="00EB0967" w:rsidRDefault="00EB0967" w:rsidP="00EB0967"/>
    <w:p w14:paraId="2CEF1EE5" w14:textId="4D4D1213" w:rsidR="00567D9A" w:rsidRDefault="00567D9A" w:rsidP="00EB0967">
      <w:r>
        <w:t xml:space="preserve">Marc Steinberg, “When Politics Goes Pop: On the Intersections of Popular and Political Culture and the Case of Serbian Student Protests,” </w:t>
      </w:r>
      <w:r w:rsidRPr="00567D9A">
        <w:rPr>
          <w:i/>
          <w:iCs/>
        </w:rPr>
        <w:t>Social Movement Studies</w:t>
      </w:r>
      <w:r>
        <w:t>, Vol. 3, No. 1, 2004.</w:t>
      </w:r>
    </w:p>
    <w:p w14:paraId="2AB9FCA5" w14:textId="77777777" w:rsidR="00567D9A" w:rsidRDefault="00567D9A" w:rsidP="00EB0967"/>
    <w:p w14:paraId="7F61256A" w14:textId="6C80F814" w:rsidR="00EB0967" w:rsidRPr="0050298F" w:rsidRDefault="00EB0967" w:rsidP="00EB0967">
      <w:proofErr w:type="spellStart"/>
      <w:r w:rsidRPr="0050298F">
        <w:t>Lisel</w:t>
      </w:r>
      <w:proofErr w:type="spellEnd"/>
      <w:r w:rsidRPr="0050298F">
        <w:t xml:space="preserve"> Hintz, “The Empire’s Opposition Strikes Back: Popular Culture as Creative Resistance Tool under Turkey’s AKP,” </w:t>
      </w:r>
      <w:r w:rsidRPr="0050298F">
        <w:rPr>
          <w:i/>
          <w:iCs/>
        </w:rPr>
        <w:t>British Journal of Middle East Studies</w:t>
      </w:r>
      <w:r w:rsidRPr="0050298F">
        <w:t>, Vol. 48, No. 1, 2021.</w:t>
      </w:r>
    </w:p>
    <w:p w14:paraId="1C9396FC" w14:textId="77777777" w:rsidR="00C95F6F" w:rsidRPr="0050298F" w:rsidRDefault="00C95F6F" w:rsidP="00632C9B">
      <w:pPr>
        <w:pStyle w:val="BodyText"/>
      </w:pPr>
    </w:p>
    <w:p w14:paraId="2DDE7B8A" w14:textId="576295E2" w:rsidR="00DA7B44" w:rsidRPr="0050298F" w:rsidRDefault="00DA7B44" w:rsidP="00DA7B44">
      <w:pPr>
        <w:rPr>
          <w:color w:val="333333"/>
        </w:rPr>
      </w:pPr>
      <w:r w:rsidRPr="0050298F">
        <w:rPr>
          <w:color w:val="333333"/>
        </w:rPr>
        <w:t>Andrew G</w:t>
      </w:r>
      <w:r w:rsidR="0050298F" w:rsidRPr="0050298F">
        <w:rPr>
          <w:color w:val="333333"/>
        </w:rPr>
        <w:t>ilbert, “</w:t>
      </w:r>
      <w:r w:rsidRPr="00DA7B44">
        <w:rPr>
          <w:i/>
          <w:iCs/>
          <w:color w:val="333333"/>
        </w:rPr>
        <w:t xml:space="preserve">Tri </w:t>
      </w:r>
      <w:proofErr w:type="spellStart"/>
      <w:r w:rsidRPr="00DA7B44">
        <w:rPr>
          <w:i/>
          <w:iCs/>
          <w:color w:val="333333"/>
        </w:rPr>
        <w:t>vjere</w:t>
      </w:r>
      <w:proofErr w:type="spellEnd"/>
      <w:r w:rsidRPr="00DA7B44">
        <w:rPr>
          <w:i/>
          <w:iCs/>
          <w:color w:val="333333"/>
        </w:rPr>
        <w:t xml:space="preserve">, </w:t>
      </w:r>
      <w:proofErr w:type="spellStart"/>
      <w:r w:rsidRPr="00DA7B44">
        <w:rPr>
          <w:i/>
          <w:iCs/>
          <w:color w:val="333333"/>
        </w:rPr>
        <w:t>jedna</w:t>
      </w:r>
      <w:proofErr w:type="spellEnd"/>
      <w:r w:rsidRPr="00DA7B44">
        <w:rPr>
          <w:i/>
          <w:iCs/>
          <w:color w:val="333333"/>
        </w:rPr>
        <w:t xml:space="preserve"> </w:t>
      </w:r>
      <w:proofErr w:type="spellStart"/>
      <w:r w:rsidRPr="00DA7B44">
        <w:rPr>
          <w:i/>
          <w:iCs/>
          <w:color w:val="333333"/>
        </w:rPr>
        <w:t>nacija</w:t>
      </w:r>
      <w:proofErr w:type="spellEnd"/>
      <w:r w:rsidRPr="00DA7B44">
        <w:rPr>
          <w:i/>
          <w:iCs/>
          <w:color w:val="333333"/>
        </w:rPr>
        <w:t xml:space="preserve">, </w:t>
      </w:r>
      <w:proofErr w:type="spellStart"/>
      <w:r w:rsidRPr="00DA7B44">
        <w:rPr>
          <w:i/>
          <w:iCs/>
          <w:color w:val="333333"/>
        </w:rPr>
        <w:t>država</w:t>
      </w:r>
      <w:proofErr w:type="spellEnd"/>
      <w:r w:rsidRPr="00DA7B44">
        <w:rPr>
          <w:i/>
          <w:iCs/>
          <w:color w:val="333333"/>
        </w:rPr>
        <w:t xml:space="preserve"> Tuzla!</w:t>
      </w:r>
      <w:r w:rsidRPr="00DA7B44">
        <w:rPr>
          <w:color w:val="333333"/>
        </w:rPr>
        <w:t xml:space="preserve"> Football </w:t>
      </w:r>
      <w:r w:rsidRPr="0050298F">
        <w:rPr>
          <w:color w:val="333333"/>
        </w:rPr>
        <w:t>F</w:t>
      </w:r>
      <w:r w:rsidRPr="00DA7B44">
        <w:rPr>
          <w:color w:val="333333"/>
        </w:rPr>
        <w:t xml:space="preserve">ans, </w:t>
      </w:r>
      <w:r w:rsidRPr="0050298F">
        <w:rPr>
          <w:color w:val="333333"/>
        </w:rPr>
        <w:t>P</w:t>
      </w:r>
      <w:r w:rsidRPr="00DA7B44">
        <w:rPr>
          <w:color w:val="333333"/>
        </w:rPr>
        <w:t xml:space="preserve">olitical </w:t>
      </w:r>
      <w:r w:rsidRPr="0050298F">
        <w:rPr>
          <w:color w:val="333333"/>
        </w:rPr>
        <w:t>P</w:t>
      </w:r>
      <w:r w:rsidRPr="00DA7B44">
        <w:rPr>
          <w:color w:val="333333"/>
        </w:rPr>
        <w:t xml:space="preserve">rotest and the </w:t>
      </w:r>
      <w:r w:rsidRPr="0050298F">
        <w:rPr>
          <w:color w:val="333333"/>
        </w:rPr>
        <w:t>R</w:t>
      </w:r>
      <w:r w:rsidRPr="00DA7B44">
        <w:rPr>
          <w:color w:val="333333"/>
        </w:rPr>
        <w:t xml:space="preserve">ight to the </w:t>
      </w:r>
      <w:r w:rsidRPr="0050298F">
        <w:rPr>
          <w:color w:val="333333"/>
        </w:rPr>
        <w:t>C</w:t>
      </w:r>
      <w:r w:rsidRPr="00DA7B44">
        <w:rPr>
          <w:color w:val="333333"/>
        </w:rPr>
        <w:t xml:space="preserve">ity in </w:t>
      </w:r>
      <w:proofErr w:type="spellStart"/>
      <w:r w:rsidRPr="0050298F">
        <w:rPr>
          <w:color w:val="333333"/>
        </w:rPr>
        <w:t>P</w:t>
      </w:r>
      <w:r w:rsidRPr="00DA7B44">
        <w:rPr>
          <w:color w:val="333333"/>
        </w:rPr>
        <w:t>ostsocialist</w:t>
      </w:r>
      <w:proofErr w:type="spellEnd"/>
      <w:r w:rsidRPr="00DA7B44">
        <w:rPr>
          <w:color w:val="333333"/>
        </w:rPr>
        <w:t xml:space="preserve"> Bosnia–Herzegovina</w:t>
      </w:r>
      <w:r w:rsidRPr="0050298F">
        <w:rPr>
          <w:color w:val="333333"/>
        </w:rPr>
        <w:t xml:space="preserve">,” </w:t>
      </w:r>
      <w:r w:rsidRPr="0050298F">
        <w:rPr>
          <w:i/>
          <w:iCs/>
          <w:color w:val="333333"/>
        </w:rPr>
        <w:t>Soccer and Society</w:t>
      </w:r>
      <w:r w:rsidR="0050298F" w:rsidRPr="0050298F">
        <w:rPr>
          <w:color w:val="333333"/>
        </w:rPr>
        <w:t>, Vol. 19, No. 3, 2018.</w:t>
      </w:r>
    </w:p>
    <w:p w14:paraId="0A155469" w14:textId="32E6F00E" w:rsidR="005A0C6F" w:rsidRPr="00567D9A" w:rsidRDefault="0050298F" w:rsidP="00567D9A">
      <w:pPr>
        <w:pStyle w:val="Heading1"/>
        <w:shd w:val="clear" w:color="auto" w:fill="FFFFFF"/>
        <w:spacing w:before="300" w:after="150"/>
        <w:ind w:left="0"/>
        <w:rPr>
          <w:b w:val="0"/>
          <w:bCs w:val="0"/>
          <w:color w:val="000000"/>
          <w:lang w:bidi="ar-SA"/>
        </w:rPr>
      </w:pPr>
      <w:r w:rsidRPr="0050298F">
        <w:rPr>
          <w:b w:val="0"/>
          <w:bCs w:val="0"/>
          <w:color w:val="333333"/>
          <w:lang w:bidi="ar-SA"/>
        </w:rPr>
        <w:t xml:space="preserve">Kelsey Fuller, “Voicing </w:t>
      </w:r>
      <w:proofErr w:type="spellStart"/>
      <w:r w:rsidRPr="0050298F">
        <w:rPr>
          <w:b w:val="0"/>
          <w:bCs w:val="0"/>
          <w:color w:val="333333"/>
          <w:lang w:bidi="ar-SA"/>
        </w:rPr>
        <w:t>S</w:t>
      </w:r>
      <w:r w:rsidRPr="0050298F">
        <w:rPr>
          <w:b w:val="0"/>
          <w:bCs w:val="0"/>
          <w:color w:val="000000"/>
        </w:rPr>
        <w:t>á</w:t>
      </w:r>
      <w:r w:rsidRPr="0050298F">
        <w:rPr>
          <w:b w:val="0"/>
          <w:bCs w:val="0"/>
          <w:color w:val="333333"/>
          <w:lang w:bidi="ar-SA"/>
        </w:rPr>
        <w:t>pmi</w:t>
      </w:r>
      <w:proofErr w:type="spellEnd"/>
      <w:r w:rsidRPr="0050298F">
        <w:rPr>
          <w:b w:val="0"/>
          <w:bCs w:val="0"/>
          <w:color w:val="333333"/>
          <w:lang w:bidi="ar-SA"/>
        </w:rPr>
        <w:t xml:space="preserve">, Defending </w:t>
      </w:r>
      <w:proofErr w:type="spellStart"/>
      <w:r w:rsidRPr="0050298F">
        <w:rPr>
          <w:b w:val="0"/>
          <w:bCs w:val="0"/>
          <w:color w:val="333333"/>
          <w:lang w:bidi="ar-SA"/>
        </w:rPr>
        <w:t>S</w:t>
      </w:r>
      <w:r w:rsidRPr="0050298F">
        <w:rPr>
          <w:b w:val="0"/>
          <w:bCs w:val="0"/>
          <w:color w:val="000000"/>
        </w:rPr>
        <w:t>á</w:t>
      </w:r>
      <w:r w:rsidRPr="0050298F">
        <w:rPr>
          <w:b w:val="0"/>
          <w:bCs w:val="0"/>
          <w:color w:val="333333"/>
          <w:lang w:bidi="ar-SA"/>
        </w:rPr>
        <w:t>pmi</w:t>
      </w:r>
      <w:proofErr w:type="spellEnd"/>
      <w:r>
        <w:rPr>
          <w:b w:val="0"/>
          <w:bCs w:val="0"/>
          <w:color w:val="333333"/>
          <w:lang w:bidi="ar-SA"/>
        </w:rPr>
        <w:t xml:space="preserve">: </w:t>
      </w:r>
      <w:r w:rsidRPr="0050298F">
        <w:rPr>
          <w:b w:val="0"/>
          <w:bCs w:val="0"/>
          <w:color w:val="333333"/>
          <w:lang w:bidi="ar-SA"/>
        </w:rPr>
        <w:t xml:space="preserve">Environmental Activism in Sami Popular Music and Music Videos,” </w:t>
      </w:r>
      <w:r w:rsidRPr="0050298F">
        <w:rPr>
          <w:b w:val="0"/>
          <w:bCs w:val="0"/>
          <w:i/>
          <w:iCs/>
          <w:color w:val="333333"/>
          <w:lang w:bidi="ar-SA"/>
        </w:rPr>
        <w:t>Journal of Scandinavian Cinema</w:t>
      </w:r>
      <w:r w:rsidRPr="0050298F">
        <w:rPr>
          <w:b w:val="0"/>
          <w:bCs w:val="0"/>
          <w:color w:val="333333"/>
          <w:lang w:bidi="ar-SA"/>
        </w:rPr>
        <w:t>, Vol. 8, No. 2, 2018.</w:t>
      </w:r>
    </w:p>
    <w:p w14:paraId="62686D34" w14:textId="77777777" w:rsidR="00567D9A" w:rsidRPr="0050298F" w:rsidRDefault="00567D9A" w:rsidP="00567D9A">
      <w:r>
        <w:t>Alexis Lerner, “The Co-Optation of Dissent in Hybrid States: Post-Soviet Graffiti in Moscow</w:t>
      </w:r>
      <w:r w:rsidRPr="00DA7B44">
        <w:t xml:space="preserve">,” </w:t>
      </w:r>
      <w:r w:rsidRPr="0050298F">
        <w:rPr>
          <w:i/>
          <w:iCs/>
        </w:rPr>
        <w:t>Comparative Political Studies</w:t>
      </w:r>
      <w:r w:rsidRPr="0050298F">
        <w:t xml:space="preserve">, Vol. 54, No. 10, 2021. </w:t>
      </w:r>
    </w:p>
    <w:p w14:paraId="5B324752" w14:textId="60BC291F" w:rsidR="00567D9A" w:rsidRDefault="00567D9A" w:rsidP="00567D9A"/>
    <w:p w14:paraId="2D826992" w14:textId="3782C15A" w:rsidR="00920E51" w:rsidRPr="00920E51" w:rsidRDefault="00920E51" w:rsidP="00567D9A">
      <w:r>
        <w:t xml:space="preserve">Kenan </w:t>
      </w:r>
      <w:proofErr w:type="spellStart"/>
      <w:r>
        <w:t>Behzat</w:t>
      </w:r>
      <w:proofErr w:type="spellEnd"/>
      <w:r>
        <w:t xml:space="preserve"> Sharpe, “</w:t>
      </w:r>
      <w:r>
        <w:rPr>
          <w:lang w:val="tr-TR"/>
        </w:rPr>
        <w:t xml:space="preserve">Boğaziçi </w:t>
      </w:r>
      <w:proofErr w:type="spellStart"/>
      <w:r>
        <w:rPr>
          <w:lang w:val="tr-TR"/>
        </w:rPr>
        <w:t>Students</w:t>
      </w:r>
      <w:proofErr w:type="spellEnd"/>
      <w:r>
        <w:t xml:space="preserve">’ Wit,” </w:t>
      </w:r>
      <w:proofErr w:type="spellStart"/>
      <w:r w:rsidRPr="00920E51">
        <w:rPr>
          <w:i/>
          <w:iCs/>
        </w:rPr>
        <w:t>Duvar</w:t>
      </w:r>
      <w:proofErr w:type="spellEnd"/>
      <w:r w:rsidRPr="00920E51">
        <w:rPr>
          <w:i/>
          <w:iCs/>
        </w:rPr>
        <w:t xml:space="preserve"> English</w:t>
      </w:r>
      <w:r>
        <w:t xml:space="preserve">, 8 January 2021: </w:t>
      </w:r>
      <w:r w:rsidRPr="00920E51">
        <w:t>https://www.duvarenglish.com/bogazici-students-wit-article-55779</w:t>
      </w:r>
      <w:r>
        <w:t>.</w:t>
      </w:r>
    </w:p>
    <w:p w14:paraId="0D2642FB" w14:textId="77777777" w:rsidR="001B2C27" w:rsidRPr="00920E51" w:rsidRDefault="001B2C27" w:rsidP="00632C9B">
      <w:pPr>
        <w:pStyle w:val="BodyText"/>
        <w:spacing w:before="2"/>
        <w:rPr>
          <w:b/>
          <w:i/>
          <w:iCs/>
          <w:sz w:val="16"/>
        </w:rPr>
      </w:pPr>
    </w:p>
    <w:p w14:paraId="36C4F663" w14:textId="20BB3507" w:rsidR="00885033" w:rsidRDefault="00885033" w:rsidP="00BE3A2E">
      <w:pPr>
        <w:rPr>
          <w:b/>
        </w:rPr>
      </w:pPr>
    </w:p>
    <w:p w14:paraId="48EE0404" w14:textId="77777777" w:rsidR="00567D9A" w:rsidRDefault="00567D9A" w:rsidP="00BE3A2E">
      <w:pPr>
        <w:rPr>
          <w:b/>
        </w:rPr>
      </w:pPr>
    </w:p>
    <w:p w14:paraId="0FE44425" w14:textId="26F59795" w:rsidR="001B2C27" w:rsidRDefault="00253E8A" w:rsidP="00CA6D0E">
      <w:pPr>
        <w:jc w:val="center"/>
        <w:rPr>
          <w:b/>
        </w:rPr>
      </w:pPr>
      <w:r>
        <w:rPr>
          <w:b/>
        </w:rPr>
        <w:lastRenderedPageBreak/>
        <w:t xml:space="preserve">Week 7, March </w:t>
      </w:r>
      <w:r w:rsidR="003B3125">
        <w:rPr>
          <w:b/>
        </w:rPr>
        <w:t>9</w:t>
      </w:r>
    </w:p>
    <w:p w14:paraId="0996A14E" w14:textId="6003ECD7" w:rsidR="00C95F6F" w:rsidRDefault="0017373E" w:rsidP="00CA6D0E">
      <w:pPr>
        <w:jc w:val="center"/>
        <w:rPr>
          <w:b/>
        </w:rPr>
      </w:pPr>
      <w:r>
        <w:rPr>
          <w:b/>
        </w:rPr>
        <w:t xml:space="preserve">State </w:t>
      </w:r>
      <w:r w:rsidR="00C95F6F">
        <w:rPr>
          <w:b/>
        </w:rPr>
        <w:t>Response:</w:t>
      </w:r>
      <w:r>
        <w:rPr>
          <w:b/>
        </w:rPr>
        <w:t xml:space="preserve"> </w:t>
      </w:r>
      <w:r w:rsidR="0048111E">
        <w:rPr>
          <w:b/>
        </w:rPr>
        <w:t>Varieties of Repression and Counter-Mobilization</w:t>
      </w:r>
      <w:r>
        <w:rPr>
          <w:b/>
        </w:rPr>
        <w:t xml:space="preserve"> </w:t>
      </w:r>
    </w:p>
    <w:p w14:paraId="1175CE95" w14:textId="6F82E638" w:rsidR="0085433D" w:rsidRDefault="0085433D" w:rsidP="0085433D">
      <w:pPr>
        <w:contextualSpacing/>
      </w:pPr>
    </w:p>
    <w:p w14:paraId="0BC6E61D" w14:textId="29827629" w:rsidR="0085433D" w:rsidRPr="0085433D" w:rsidRDefault="0085433D" w:rsidP="0085433D">
      <w:pPr>
        <w:contextualSpacing/>
      </w:pPr>
      <w:r>
        <w:t>Charles Sullivan, “Misruling the Masses: The Consequences of Cracking Down in Ky</w:t>
      </w:r>
      <w:r w:rsidR="00885033">
        <w:t>r</w:t>
      </w:r>
      <w:r>
        <w:t xml:space="preserve">gyzstan,” </w:t>
      </w:r>
      <w:r w:rsidRPr="0085433D">
        <w:rPr>
          <w:i/>
          <w:iCs/>
        </w:rPr>
        <w:t>Nationalities Papers</w:t>
      </w:r>
      <w:r>
        <w:t>, Vol. 47, No. 4, 2019.</w:t>
      </w:r>
    </w:p>
    <w:p w14:paraId="5140B4DC" w14:textId="77777777" w:rsidR="00CA6D0E" w:rsidRDefault="00CA6D0E" w:rsidP="00CA6D0E">
      <w:pPr>
        <w:pStyle w:val="BodyText"/>
      </w:pPr>
    </w:p>
    <w:p w14:paraId="13C48BD7" w14:textId="6CB1E8C4" w:rsidR="0048111E" w:rsidRDefault="00134E84" w:rsidP="00CA6D0E">
      <w:pPr>
        <w:pStyle w:val="BodyText"/>
      </w:pPr>
      <w:r>
        <w:t xml:space="preserve">Maria Popova, “Fear and Loathing on the Post-Communist Street: Why Bulgaria’s #DANSwithme Protest Fizzled Out, But Ukraine’s Euromaidan Escalated,” </w:t>
      </w:r>
      <w:r w:rsidRPr="00134E84">
        <w:rPr>
          <w:i/>
          <w:iCs/>
        </w:rPr>
        <w:t>Critique and Humanism</w:t>
      </w:r>
      <w:r>
        <w:t>, Vol. 46, No. 2, 2016.</w:t>
      </w:r>
    </w:p>
    <w:p w14:paraId="6AFE844C" w14:textId="41265890" w:rsidR="00B5452A" w:rsidRDefault="00B5452A" w:rsidP="00CA6D0E">
      <w:pPr>
        <w:pStyle w:val="BodyText"/>
      </w:pPr>
    </w:p>
    <w:p w14:paraId="77205703" w14:textId="5043A7A2" w:rsidR="00B5452A" w:rsidRDefault="00B5452A" w:rsidP="00CA6D0E">
      <w:pPr>
        <w:pStyle w:val="BodyText"/>
      </w:pPr>
      <w:proofErr w:type="spellStart"/>
      <w:r>
        <w:t>Balazs</w:t>
      </w:r>
      <w:proofErr w:type="spellEnd"/>
      <w:r>
        <w:t xml:space="preserve"> </w:t>
      </w:r>
      <w:proofErr w:type="spellStart"/>
      <w:r>
        <w:t>Majtenyi</w:t>
      </w:r>
      <w:proofErr w:type="spellEnd"/>
      <w:r>
        <w:t xml:space="preserve">, </w:t>
      </w:r>
      <w:proofErr w:type="spellStart"/>
      <w:r>
        <w:t>Akos</w:t>
      </w:r>
      <w:proofErr w:type="spellEnd"/>
      <w:r>
        <w:t xml:space="preserve"> </w:t>
      </w:r>
      <w:proofErr w:type="spellStart"/>
      <w:r>
        <w:t>Kopper</w:t>
      </w:r>
      <w:proofErr w:type="spellEnd"/>
      <w:r>
        <w:t xml:space="preserve">, and Pal </w:t>
      </w:r>
      <w:proofErr w:type="spellStart"/>
      <w:r>
        <w:t>Susanszky</w:t>
      </w:r>
      <w:proofErr w:type="spellEnd"/>
      <w:r>
        <w:t xml:space="preserve">, “Constitutional Othering, Ambiguity, and Subjective Risks of Mobilization in Hungary: Examples from the Migration Crisis,” </w:t>
      </w:r>
      <w:r w:rsidRPr="00B5452A">
        <w:rPr>
          <w:i/>
          <w:iCs/>
        </w:rPr>
        <w:t>Democratization</w:t>
      </w:r>
      <w:r>
        <w:t>, Vol. 26, No. 2, 2019.</w:t>
      </w:r>
    </w:p>
    <w:p w14:paraId="3F6680F5" w14:textId="77777777" w:rsidR="00134CD8" w:rsidRDefault="00134CD8" w:rsidP="00CA6D0E">
      <w:pPr>
        <w:pStyle w:val="BodyText"/>
      </w:pPr>
    </w:p>
    <w:p w14:paraId="4A677844" w14:textId="67B78D63" w:rsidR="0048111E" w:rsidRDefault="0048111E" w:rsidP="0048111E">
      <w:pPr>
        <w:pStyle w:val="BodyText"/>
      </w:pPr>
      <w:r>
        <w:t xml:space="preserve">Myra Marx Ferree, “Soft Repression: Ridicule, Stigma, and Silencing in Gender-Based Movements,” in Christian Davenport et al (eds) </w:t>
      </w:r>
      <w:r>
        <w:rPr>
          <w:i/>
        </w:rPr>
        <w:t xml:space="preserve">Repression and Mobilization </w:t>
      </w:r>
      <w:r>
        <w:t>(</w:t>
      </w:r>
      <w:r w:rsidR="00BE3A2E">
        <w:t>University of Minnesota Press,</w:t>
      </w:r>
      <w:r>
        <w:t xml:space="preserve"> 2005).</w:t>
      </w:r>
    </w:p>
    <w:p w14:paraId="7E7DB4D2" w14:textId="77777777" w:rsidR="0048111E" w:rsidRDefault="0048111E" w:rsidP="0048111E"/>
    <w:p w14:paraId="378EE09D" w14:textId="77777777" w:rsidR="0048111E" w:rsidRPr="005A0C6F" w:rsidRDefault="0048111E" w:rsidP="0048111E">
      <w:proofErr w:type="spellStart"/>
      <w:r>
        <w:t>Lisel</w:t>
      </w:r>
      <w:proofErr w:type="spellEnd"/>
      <w:r>
        <w:t xml:space="preserve"> Hintz, “Adding Insult to Injury: Vilification as Counter-Mobilization Strategy in Turkey’s Gezi Park,” </w:t>
      </w:r>
      <w:r>
        <w:rPr>
          <w:i/>
        </w:rPr>
        <w:t>Project on Middle East Political Science Paper Series</w:t>
      </w:r>
      <w:r>
        <w:t>, Vol. 20.</w:t>
      </w:r>
    </w:p>
    <w:p w14:paraId="33C6D872" w14:textId="77777777" w:rsidR="005A0C6F" w:rsidRPr="005A0C6F" w:rsidRDefault="005A0C6F" w:rsidP="00632C9B"/>
    <w:p w14:paraId="349C1D6F" w14:textId="77777777" w:rsidR="001B2C27" w:rsidRDefault="001B2C27" w:rsidP="00CA6D0E">
      <w:pPr>
        <w:pStyle w:val="BodyText"/>
        <w:spacing w:before="5"/>
        <w:jc w:val="center"/>
        <w:rPr>
          <w:sz w:val="22"/>
        </w:rPr>
      </w:pPr>
    </w:p>
    <w:p w14:paraId="6421F281" w14:textId="579C6259" w:rsidR="001B2C27" w:rsidRDefault="00E40FA7" w:rsidP="00CA6D0E">
      <w:pPr>
        <w:pStyle w:val="Heading1"/>
        <w:ind w:left="0"/>
        <w:jc w:val="center"/>
      </w:pPr>
      <w:r>
        <w:t>Week 8</w:t>
      </w:r>
      <w:r w:rsidR="00CA6D0E">
        <w:t>, March 16</w:t>
      </w:r>
    </w:p>
    <w:p w14:paraId="08B7FE51" w14:textId="5FF14504" w:rsidR="00243D6B" w:rsidRDefault="00350C11" w:rsidP="00AE4B3C">
      <w:pPr>
        <w:pStyle w:val="Heading1"/>
        <w:ind w:left="0"/>
        <w:jc w:val="center"/>
      </w:pPr>
      <w:r>
        <w:t>Mobilization</w:t>
      </w:r>
      <w:r w:rsidR="00537697">
        <w:t>, Revolution, and Regime Outcomes: Spotlight on Color Revolutions</w:t>
      </w:r>
    </w:p>
    <w:p w14:paraId="475B7E7C" w14:textId="77777777" w:rsidR="00537697" w:rsidRDefault="00537697" w:rsidP="00537697"/>
    <w:p w14:paraId="68331E9D" w14:textId="5DC1AA5F" w:rsidR="00B30414" w:rsidRDefault="00B57FF8" w:rsidP="00391E27">
      <w:r>
        <w:t xml:space="preserve">Valerie Bunce and Sharon </w:t>
      </w:r>
      <w:proofErr w:type="spellStart"/>
      <w:r>
        <w:t>Wolchik</w:t>
      </w:r>
      <w:proofErr w:type="spellEnd"/>
      <w:r>
        <w:t xml:space="preserve">, “Defeating Dictators: Electoral Change and Stability in Competitive Authoritarian Regimes,” </w:t>
      </w:r>
      <w:r w:rsidRPr="00B57FF8">
        <w:rPr>
          <w:i/>
          <w:iCs/>
        </w:rPr>
        <w:t>World Politics</w:t>
      </w:r>
      <w:r>
        <w:t>, Vol. 62, No. 1, 2010.</w:t>
      </w:r>
    </w:p>
    <w:p w14:paraId="69B1D6A0" w14:textId="77777777" w:rsidR="00391E27" w:rsidRPr="00391E27" w:rsidRDefault="00391E27" w:rsidP="00391E27"/>
    <w:p w14:paraId="6BF4EEA4" w14:textId="6683A957" w:rsidR="00B30414" w:rsidRDefault="00496E1C" w:rsidP="00B30414">
      <w:pPr>
        <w:pStyle w:val="BodyText"/>
      </w:pPr>
      <w:proofErr w:type="spellStart"/>
      <w:r>
        <w:t>Levon</w:t>
      </w:r>
      <w:proofErr w:type="spellEnd"/>
      <w:r>
        <w:t xml:space="preserve"> Abrahamian and </w:t>
      </w:r>
      <w:proofErr w:type="spellStart"/>
      <w:r>
        <w:t>Gayane</w:t>
      </w:r>
      <w:proofErr w:type="spellEnd"/>
      <w:r>
        <w:t xml:space="preserve"> </w:t>
      </w:r>
      <w:proofErr w:type="spellStart"/>
      <w:r>
        <w:t>Shagoyan</w:t>
      </w:r>
      <w:proofErr w:type="spellEnd"/>
      <w:r>
        <w:t xml:space="preserve">, “Velvet Revolution, Armenian Style,” </w:t>
      </w:r>
      <w:proofErr w:type="spellStart"/>
      <w:r w:rsidRPr="00496E1C">
        <w:rPr>
          <w:i/>
          <w:iCs/>
        </w:rPr>
        <w:t>Demokratizatsiya</w:t>
      </w:r>
      <w:proofErr w:type="spellEnd"/>
      <w:r>
        <w:t xml:space="preserve">, Vol. 26, No. 4, 2018. </w:t>
      </w:r>
    </w:p>
    <w:p w14:paraId="37DF557A" w14:textId="77777777" w:rsidR="00391E27" w:rsidRDefault="00391E27" w:rsidP="00391E27"/>
    <w:p w14:paraId="16C3FA34" w14:textId="77777777" w:rsidR="0099287D" w:rsidRPr="00AE4B3C" w:rsidRDefault="0099287D" w:rsidP="0099287D">
      <w:proofErr w:type="spellStart"/>
      <w:r>
        <w:t>Tsveta</w:t>
      </w:r>
      <w:proofErr w:type="spellEnd"/>
      <w:r>
        <w:t xml:space="preserve"> </w:t>
      </w:r>
      <w:proofErr w:type="spellStart"/>
      <w:r>
        <w:t>Petrova</w:t>
      </w:r>
      <w:proofErr w:type="spellEnd"/>
      <w:r>
        <w:t xml:space="preserve">, “Diffusion Brokers and Regime Change Waves: The US Role in the Wave of Central and Eastern European Electoral Breakthroughs,” </w:t>
      </w:r>
      <w:proofErr w:type="spellStart"/>
      <w:r w:rsidRPr="005A0C6F">
        <w:rPr>
          <w:i/>
        </w:rPr>
        <w:t>Demokratizatsiya</w:t>
      </w:r>
      <w:proofErr w:type="spellEnd"/>
      <w:r>
        <w:t>, Vol. 26, No. 2, 2018.</w:t>
      </w:r>
    </w:p>
    <w:p w14:paraId="10DD4165" w14:textId="77777777" w:rsidR="0099287D" w:rsidRDefault="0099287D" w:rsidP="00391E27"/>
    <w:p w14:paraId="0DDF057C" w14:textId="77624AD2" w:rsidR="00391E27" w:rsidRPr="005A0C6F" w:rsidRDefault="00391E27" w:rsidP="00391E27">
      <w:proofErr w:type="spellStart"/>
      <w:r>
        <w:t>Grigore</w:t>
      </w:r>
      <w:proofErr w:type="spellEnd"/>
      <w:r>
        <w:t xml:space="preserve"> Pop-</w:t>
      </w:r>
      <w:proofErr w:type="spellStart"/>
      <w:r>
        <w:t>Eleches</w:t>
      </w:r>
      <w:proofErr w:type="spellEnd"/>
      <w:r>
        <w:t xml:space="preserve"> and Graeme Robertson, “After the Revolution: Long-Term Effects of Electoral Revolutions,” </w:t>
      </w:r>
      <w:r w:rsidRPr="00EE1AD1">
        <w:rPr>
          <w:i/>
        </w:rPr>
        <w:t>Problems of Post-Communism</w:t>
      </w:r>
      <w:r>
        <w:t>, Vol. 61, No. 4, 2014.</w:t>
      </w:r>
    </w:p>
    <w:p w14:paraId="7AA8C33E" w14:textId="37572446" w:rsidR="00AE4B3C" w:rsidRDefault="00AE4B3C" w:rsidP="00B30414">
      <w:pPr>
        <w:pStyle w:val="BodyText"/>
      </w:pPr>
    </w:p>
    <w:p w14:paraId="0E474A12" w14:textId="77777777" w:rsidR="00AE4B3C" w:rsidRDefault="00AE4B3C" w:rsidP="00AE4B3C">
      <w:r>
        <w:t xml:space="preserve">Henry Hale, “How Should We Now Conceptualize Protest, Diffusion, and Regime Change?” </w:t>
      </w:r>
      <w:r w:rsidRPr="00AE4B3C">
        <w:rPr>
          <w:i/>
          <w:iCs/>
        </w:rPr>
        <w:t>Journal of Conflict Resolution</w:t>
      </w:r>
      <w:r>
        <w:t>, Vol. 63, No. 10, 2019.</w:t>
      </w:r>
    </w:p>
    <w:p w14:paraId="251769EC" w14:textId="77777777" w:rsidR="00AE4B3C" w:rsidRDefault="00AE4B3C" w:rsidP="00B30414">
      <w:pPr>
        <w:pStyle w:val="BodyText"/>
      </w:pPr>
    </w:p>
    <w:p w14:paraId="42D74E8F" w14:textId="3D58A7C4" w:rsidR="00860B11" w:rsidRDefault="00567D9A" w:rsidP="0017373E">
      <w:pPr>
        <w:pStyle w:val="BodyText"/>
      </w:pPr>
      <w:r>
        <w:t>Current events short analysis piece TBA</w:t>
      </w:r>
    </w:p>
    <w:p w14:paraId="3E0263BA" w14:textId="1F96D940" w:rsidR="0017373E" w:rsidRDefault="0017373E" w:rsidP="00AE4B3C">
      <w:pPr>
        <w:pStyle w:val="Heading1"/>
        <w:ind w:left="0"/>
      </w:pPr>
    </w:p>
    <w:p w14:paraId="57E52612" w14:textId="77777777" w:rsidR="0048111E" w:rsidRDefault="0048111E" w:rsidP="0048111E">
      <w:pPr>
        <w:spacing w:before="230"/>
        <w:jc w:val="center"/>
        <w:rPr>
          <w:b/>
        </w:rPr>
      </w:pPr>
      <w:r>
        <w:rPr>
          <w:b/>
        </w:rPr>
        <w:t>Week 9, March 23</w:t>
      </w:r>
    </w:p>
    <w:p w14:paraId="79193A79" w14:textId="132270C6" w:rsidR="0048111E" w:rsidRPr="0099287D" w:rsidRDefault="0048111E" w:rsidP="0099287D">
      <w:pPr>
        <w:jc w:val="center"/>
        <w:rPr>
          <w:b/>
        </w:rPr>
      </w:pPr>
      <w:r>
        <w:rPr>
          <w:b/>
        </w:rPr>
        <w:t>NO CLASS, SPRING BREAK</w:t>
      </w:r>
    </w:p>
    <w:p w14:paraId="7E146C5C" w14:textId="37B7F11B" w:rsidR="00C95F6F" w:rsidRDefault="00C95F6F" w:rsidP="00CA6D0E">
      <w:pPr>
        <w:jc w:val="center"/>
        <w:rPr>
          <w:b/>
        </w:rPr>
      </w:pPr>
    </w:p>
    <w:p w14:paraId="26A96F34" w14:textId="77777777" w:rsidR="004148E8" w:rsidRDefault="004148E8" w:rsidP="00CA6D0E">
      <w:pPr>
        <w:jc w:val="center"/>
        <w:rPr>
          <w:b/>
        </w:rPr>
      </w:pPr>
    </w:p>
    <w:p w14:paraId="634422EE" w14:textId="67A328D8" w:rsidR="001B2C27" w:rsidRPr="00C95F6F" w:rsidRDefault="00C95F6F" w:rsidP="00CA6D0E">
      <w:pPr>
        <w:pStyle w:val="Heading1"/>
        <w:spacing w:before="79"/>
        <w:ind w:left="0"/>
        <w:jc w:val="center"/>
      </w:pPr>
      <w:r>
        <w:rPr>
          <w:u w:val="thick"/>
        </w:rPr>
        <w:lastRenderedPageBreak/>
        <w:t>PART II: Grievances</w:t>
      </w:r>
      <w:r w:rsidR="00CA6D0E">
        <w:rPr>
          <w:u w:val="thick"/>
        </w:rPr>
        <w:t>, Frames,</w:t>
      </w:r>
      <w:r>
        <w:rPr>
          <w:u w:val="thick"/>
        </w:rPr>
        <w:t xml:space="preserve"> </w:t>
      </w:r>
      <w:r w:rsidR="00CA6D0E">
        <w:rPr>
          <w:u w:val="thick"/>
        </w:rPr>
        <w:t>and Collective Identities</w:t>
      </w:r>
    </w:p>
    <w:p w14:paraId="6CDC29C8" w14:textId="77777777" w:rsidR="00CF37DD" w:rsidRDefault="00CF37DD" w:rsidP="00CA6D0E">
      <w:pPr>
        <w:jc w:val="center"/>
        <w:rPr>
          <w:b/>
        </w:rPr>
      </w:pPr>
    </w:p>
    <w:p w14:paraId="43FC91ED" w14:textId="77777777" w:rsidR="00BA2341" w:rsidRDefault="00CF37DD" w:rsidP="00BA2341">
      <w:pPr>
        <w:pStyle w:val="Heading1"/>
        <w:ind w:left="0" w:firstLine="475"/>
        <w:jc w:val="center"/>
      </w:pPr>
      <w:r>
        <w:t>Week 10, March 30</w:t>
      </w:r>
    </w:p>
    <w:p w14:paraId="005420D0" w14:textId="4E7A46D7" w:rsidR="00C95F6F" w:rsidRPr="00BA2341" w:rsidRDefault="00C95F6F" w:rsidP="00BA2341">
      <w:pPr>
        <w:pStyle w:val="Heading1"/>
        <w:ind w:left="0" w:firstLine="475"/>
        <w:jc w:val="center"/>
      </w:pPr>
      <w:r>
        <w:t>Gender and Mobilization</w:t>
      </w:r>
    </w:p>
    <w:p w14:paraId="367B6C3B" w14:textId="77777777" w:rsidR="00C95F6F" w:rsidRDefault="00C95F6F" w:rsidP="00632C9B">
      <w:pPr>
        <w:pStyle w:val="BodyText"/>
        <w:rPr>
          <w:b/>
          <w:sz w:val="23"/>
        </w:rPr>
      </w:pPr>
    </w:p>
    <w:p w14:paraId="13401F4E" w14:textId="6AA88C38" w:rsidR="00A417FB" w:rsidRDefault="00C95F6F" w:rsidP="00632C9B">
      <w:r>
        <w:t xml:space="preserve">Karen Beckwith, “Beyond Compare? Women’s Movements in Comparative Perspective,” </w:t>
      </w:r>
      <w:r>
        <w:rPr>
          <w:i/>
        </w:rPr>
        <w:t>European Journal of Political Research</w:t>
      </w:r>
      <w:r>
        <w:t>, Vol. 37, No. 4, 2000.</w:t>
      </w:r>
    </w:p>
    <w:p w14:paraId="56A04D40" w14:textId="77777777" w:rsidR="00C95F6F" w:rsidRDefault="00C95F6F" w:rsidP="00632C9B">
      <w:pPr>
        <w:pStyle w:val="BodyText"/>
      </w:pPr>
    </w:p>
    <w:p w14:paraId="5EC076AD" w14:textId="493C075C" w:rsidR="00C95F6F" w:rsidRDefault="008A602C" w:rsidP="00632C9B">
      <w:pPr>
        <w:pStyle w:val="BodyText"/>
      </w:pPr>
      <w:r>
        <w:t xml:space="preserve">Pauline Cullen and Mary P. Murphy, “Gendered Mobilizations Against Austerity in Ireland,” </w:t>
      </w:r>
      <w:r w:rsidRPr="008A602C">
        <w:rPr>
          <w:i/>
          <w:iCs/>
        </w:rPr>
        <w:t>Gender, Work, and Organization</w:t>
      </w:r>
      <w:r>
        <w:t xml:space="preserve">, Vol. 24, No. 1, 2017. </w:t>
      </w:r>
    </w:p>
    <w:p w14:paraId="1895B04E" w14:textId="77777777" w:rsidR="00C95F6F" w:rsidRDefault="00C95F6F" w:rsidP="00632C9B">
      <w:pPr>
        <w:pStyle w:val="BodyText"/>
      </w:pPr>
    </w:p>
    <w:p w14:paraId="41995190" w14:textId="5F18426B" w:rsidR="00C95F6F" w:rsidRDefault="00C95F6F" w:rsidP="00632C9B">
      <w:pPr>
        <w:jc w:val="both"/>
      </w:pPr>
      <w:proofErr w:type="spellStart"/>
      <w:r>
        <w:t>Gülsüm</w:t>
      </w:r>
      <w:proofErr w:type="spellEnd"/>
      <w:r>
        <w:t xml:space="preserve"> </w:t>
      </w:r>
      <w:proofErr w:type="spellStart"/>
      <w:r>
        <w:t>Baydar</w:t>
      </w:r>
      <w:proofErr w:type="spellEnd"/>
      <w:r>
        <w:t xml:space="preserve"> and </w:t>
      </w:r>
      <w:proofErr w:type="spellStart"/>
      <w:r>
        <w:t>Berfin</w:t>
      </w:r>
      <w:proofErr w:type="spellEnd"/>
      <w:r>
        <w:t xml:space="preserve"> </w:t>
      </w:r>
      <w:proofErr w:type="spellStart"/>
      <w:r>
        <w:t>İvegen</w:t>
      </w:r>
      <w:proofErr w:type="spellEnd"/>
      <w:r>
        <w:t xml:space="preserve">, “Territories, Identities, and Thresholds: The Saturday Mothers Phenomenon in Istanbul,” </w:t>
      </w:r>
      <w:r>
        <w:rPr>
          <w:i/>
        </w:rPr>
        <w:t>Signs: Journal of Women and Culture in Society</w:t>
      </w:r>
      <w:r>
        <w:t>, Vol. 31, No. 3, 2006.</w:t>
      </w:r>
    </w:p>
    <w:p w14:paraId="40B8E94C" w14:textId="10DAEE11" w:rsidR="00A417FB" w:rsidRDefault="00A417FB" w:rsidP="00632C9B">
      <w:pPr>
        <w:jc w:val="both"/>
      </w:pPr>
    </w:p>
    <w:p w14:paraId="39EBB368" w14:textId="191121DD" w:rsidR="00A417FB" w:rsidRDefault="00A417FB" w:rsidP="00632C9B">
      <w:pPr>
        <w:jc w:val="both"/>
      </w:pPr>
      <w:r>
        <w:t xml:space="preserve">Silke </w:t>
      </w:r>
      <w:proofErr w:type="spellStart"/>
      <w:r>
        <w:t>Roht</w:t>
      </w:r>
      <w:proofErr w:type="spellEnd"/>
      <w:r>
        <w:t xml:space="preserve"> and Clare Saunders</w:t>
      </w:r>
      <w:r w:rsidR="004148E8">
        <w:t>, “</w:t>
      </w:r>
      <w:r>
        <w:t xml:space="preserve">Do Gender Regimes Matter? Gender Differences and Involvement in Anti-Austerity Protests – A Comparison of Spain, Sweden, and the United Kingdom,” </w:t>
      </w:r>
      <w:r w:rsidRPr="00A417FB">
        <w:rPr>
          <w:i/>
          <w:iCs/>
        </w:rPr>
        <w:t>Social Movement Studies</w:t>
      </w:r>
      <w:r>
        <w:t>, Vol. 19, No. 3, 2020.</w:t>
      </w:r>
    </w:p>
    <w:p w14:paraId="331BF1A4" w14:textId="5211FBFD" w:rsidR="00BA2341" w:rsidRDefault="00BA2341" w:rsidP="00632C9B">
      <w:pPr>
        <w:jc w:val="both"/>
      </w:pPr>
    </w:p>
    <w:p w14:paraId="16FD09D4" w14:textId="546EBA4C" w:rsidR="00BA2341" w:rsidRDefault="00BA2341" w:rsidP="00632C9B">
      <w:pPr>
        <w:jc w:val="both"/>
      </w:pPr>
      <w:r>
        <w:t xml:space="preserve">David </w:t>
      </w:r>
      <w:proofErr w:type="spellStart"/>
      <w:r>
        <w:t>Paternotte</w:t>
      </w:r>
      <w:proofErr w:type="spellEnd"/>
      <w:r w:rsidR="006A6535">
        <w:t xml:space="preserve"> and Roman </w:t>
      </w:r>
      <w:proofErr w:type="spellStart"/>
      <w:r w:rsidR="006A6535">
        <w:t>Kuhar</w:t>
      </w:r>
      <w:proofErr w:type="spellEnd"/>
      <w:r>
        <w:t>, “</w:t>
      </w:r>
      <w:r w:rsidR="002A2E0A">
        <w:t xml:space="preserve">Disentangling and Locating the ‘Global Right’: Anti-Gender Campaigns in Europe,” </w:t>
      </w:r>
      <w:r w:rsidR="002A2E0A" w:rsidRPr="002A2E0A">
        <w:rPr>
          <w:i/>
          <w:iCs/>
        </w:rPr>
        <w:t>Politics and Governance</w:t>
      </w:r>
      <w:r w:rsidR="002A2E0A">
        <w:t>, Vol. 6, No. 3, 2018.</w:t>
      </w:r>
    </w:p>
    <w:p w14:paraId="31DAE81E" w14:textId="77777777" w:rsidR="00C95F6F" w:rsidRDefault="00C95F6F" w:rsidP="00632C9B">
      <w:pPr>
        <w:pStyle w:val="BodyText"/>
      </w:pPr>
    </w:p>
    <w:p w14:paraId="51BEFABD" w14:textId="77777777" w:rsidR="00B30414" w:rsidRDefault="00B30414" w:rsidP="00632C9B">
      <w:pPr>
        <w:pStyle w:val="BodyText"/>
      </w:pPr>
    </w:p>
    <w:p w14:paraId="17CCB969" w14:textId="1CE22DC1" w:rsidR="00CA6D0E" w:rsidRDefault="00253E8A" w:rsidP="00CA6D0E">
      <w:pPr>
        <w:pStyle w:val="Heading1"/>
        <w:ind w:left="0" w:firstLine="475"/>
        <w:jc w:val="center"/>
      </w:pPr>
      <w:r>
        <w:t>Week 1</w:t>
      </w:r>
      <w:r w:rsidR="00CF37DD">
        <w:t>1</w:t>
      </w:r>
      <w:r>
        <w:t>,</w:t>
      </w:r>
      <w:r w:rsidR="00CF37DD">
        <w:t xml:space="preserve"> April 6</w:t>
      </w:r>
    </w:p>
    <w:p w14:paraId="0746E76F" w14:textId="2EDAB7DF" w:rsidR="001B2C27" w:rsidRDefault="00253E8A" w:rsidP="00CA6D0E">
      <w:pPr>
        <w:pStyle w:val="Heading1"/>
        <w:ind w:left="0" w:firstLine="475"/>
        <w:jc w:val="center"/>
      </w:pPr>
      <w:r>
        <w:t>Religion and Mobilization</w:t>
      </w:r>
    </w:p>
    <w:p w14:paraId="46294FC9" w14:textId="77777777" w:rsidR="001B2C27" w:rsidRDefault="001B2C27" w:rsidP="00632C9B">
      <w:pPr>
        <w:pStyle w:val="BodyText"/>
        <w:spacing w:before="6"/>
        <w:rPr>
          <w:b/>
          <w:sz w:val="23"/>
        </w:rPr>
      </w:pPr>
    </w:p>
    <w:p w14:paraId="39E6B048" w14:textId="77777777" w:rsidR="001B2C27" w:rsidRDefault="00253E8A" w:rsidP="00632C9B">
      <w:pPr>
        <w:spacing w:before="1"/>
      </w:pPr>
      <w:r>
        <w:t xml:space="preserve">Christian Smith (ed), </w:t>
      </w:r>
      <w:r>
        <w:rPr>
          <w:i/>
        </w:rPr>
        <w:t xml:space="preserve">Disruptive Religion: The Force of Faith in Social Movement Activism </w:t>
      </w:r>
      <w:r>
        <w:t>(New York, NY: Routledge, 1996), Introduction.</w:t>
      </w:r>
    </w:p>
    <w:p w14:paraId="620580F6" w14:textId="77777777" w:rsidR="001B2C27" w:rsidRDefault="001B2C27" w:rsidP="00632C9B">
      <w:pPr>
        <w:pStyle w:val="BodyText"/>
        <w:spacing w:before="11"/>
        <w:rPr>
          <w:sz w:val="23"/>
        </w:rPr>
      </w:pPr>
    </w:p>
    <w:p w14:paraId="08315029" w14:textId="50908D84" w:rsidR="001B2C27" w:rsidRDefault="00253E8A" w:rsidP="00632C9B">
      <w:pPr>
        <w:jc w:val="both"/>
      </w:pPr>
      <w:r>
        <w:t xml:space="preserve">Maryjane </w:t>
      </w:r>
      <w:proofErr w:type="spellStart"/>
      <w:r>
        <w:t>Osa</w:t>
      </w:r>
      <w:proofErr w:type="spellEnd"/>
      <w:r>
        <w:t>, "Pastoral Mobilization and Contention: The Religious Foundations of the Solidarity Movement in Poland," in Christian Smith (ed</w:t>
      </w:r>
      <w:r w:rsidR="00567D9A">
        <w:t>.</w:t>
      </w:r>
      <w:r>
        <w:t xml:space="preserve">), </w:t>
      </w:r>
      <w:r>
        <w:rPr>
          <w:i/>
        </w:rPr>
        <w:t xml:space="preserve">Disruptive Religion: The Force of Faith in Social Movement Activism </w:t>
      </w:r>
      <w:r>
        <w:t>(Routledge, 1996).</w:t>
      </w:r>
    </w:p>
    <w:p w14:paraId="66DCF2DC" w14:textId="77777777" w:rsidR="001B2C27" w:rsidRDefault="001B2C27" w:rsidP="00632C9B">
      <w:pPr>
        <w:pStyle w:val="BodyText"/>
      </w:pPr>
    </w:p>
    <w:p w14:paraId="455DC414" w14:textId="4BCF43FA" w:rsidR="001B2C27" w:rsidRDefault="004148E8" w:rsidP="00632C9B">
      <w:proofErr w:type="spellStart"/>
      <w:r>
        <w:t>Margaretha</w:t>
      </w:r>
      <w:proofErr w:type="spellEnd"/>
      <w:r>
        <w:t xml:space="preserve"> A. van Es and Bella van den Brandt, “Muslim Women’s Activism and Organizations in the Netherlands and Belgium,” </w:t>
      </w:r>
      <w:proofErr w:type="spellStart"/>
      <w:r w:rsidRPr="004148E8">
        <w:rPr>
          <w:i/>
          <w:iCs/>
        </w:rPr>
        <w:t>Trajecta</w:t>
      </w:r>
      <w:proofErr w:type="spellEnd"/>
      <w:r>
        <w:t>, Vol. 29, No. 2, 2020.</w:t>
      </w:r>
    </w:p>
    <w:p w14:paraId="39380B28" w14:textId="77777777" w:rsidR="001B2C27" w:rsidRDefault="001B2C27" w:rsidP="00632C9B">
      <w:pPr>
        <w:pStyle w:val="BodyText"/>
      </w:pPr>
    </w:p>
    <w:p w14:paraId="3610D9D8" w14:textId="77777777" w:rsidR="001B2C27" w:rsidRDefault="00253E8A" w:rsidP="00632C9B">
      <w:r>
        <w:t xml:space="preserve">George Sweeney, “Irish Hunger Strikes and the Cult of Self-Sacrifice,” </w:t>
      </w:r>
      <w:r>
        <w:rPr>
          <w:i/>
        </w:rPr>
        <w:t>Journal of Contemporary History</w:t>
      </w:r>
      <w:r>
        <w:t>, Vol. 28, 1993.</w:t>
      </w:r>
    </w:p>
    <w:p w14:paraId="3F8204EB" w14:textId="77777777" w:rsidR="001B2C27" w:rsidRDefault="001B2C27" w:rsidP="00632C9B">
      <w:pPr>
        <w:pStyle w:val="BodyText"/>
      </w:pPr>
    </w:p>
    <w:p w14:paraId="7A036FDA" w14:textId="7B6921CA" w:rsidR="001B2C27" w:rsidRDefault="007F22CE" w:rsidP="00632C9B">
      <w:pPr>
        <w:pStyle w:val="BodyText"/>
      </w:pPr>
      <w:r>
        <w:t xml:space="preserve">Anna </w:t>
      </w:r>
      <w:proofErr w:type="spellStart"/>
      <w:r>
        <w:t>Lavizzari</w:t>
      </w:r>
      <w:proofErr w:type="spellEnd"/>
      <w:r>
        <w:t xml:space="preserve"> and Massimo </w:t>
      </w:r>
      <w:proofErr w:type="spellStart"/>
      <w:r>
        <w:t>Prearo</w:t>
      </w:r>
      <w:proofErr w:type="spellEnd"/>
      <w:r>
        <w:t xml:space="preserve">, “The Anti-Gender Movement in Italy: Catholic Participation Between Electoral and Protest Politics,” </w:t>
      </w:r>
      <w:r w:rsidRPr="007F22CE">
        <w:rPr>
          <w:i/>
          <w:iCs/>
        </w:rPr>
        <w:t>European Societies</w:t>
      </w:r>
      <w:r>
        <w:t>, Vol. 21, No. 3, 2019.</w:t>
      </w:r>
    </w:p>
    <w:p w14:paraId="1CA10335" w14:textId="77777777" w:rsidR="008F0081" w:rsidRDefault="008F0081" w:rsidP="00632C9B">
      <w:pPr>
        <w:pStyle w:val="BodyText"/>
      </w:pPr>
    </w:p>
    <w:p w14:paraId="6804B8D8" w14:textId="6930D313" w:rsidR="008F0081" w:rsidRDefault="008F0081" w:rsidP="00632C9B">
      <w:pPr>
        <w:pStyle w:val="BodyText"/>
      </w:pPr>
      <w:r>
        <w:t xml:space="preserve">Patrick Kingsley, “96 Days Later, Nonstop Church Service to Protect Refugees Finally Ends,” </w:t>
      </w:r>
      <w:r w:rsidRPr="008F0081">
        <w:rPr>
          <w:i/>
        </w:rPr>
        <w:t>New York Times</w:t>
      </w:r>
      <w:r>
        <w:t>, 29 January 2019.</w:t>
      </w:r>
    </w:p>
    <w:p w14:paraId="70E6FF25" w14:textId="77777777" w:rsidR="001B2C27" w:rsidRDefault="001B2C27" w:rsidP="00632C9B">
      <w:pPr>
        <w:pStyle w:val="BodyText"/>
        <w:rPr>
          <w:sz w:val="26"/>
        </w:rPr>
      </w:pPr>
    </w:p>
    <w:p w14:paraId="1FE09BD0" w14:textId="2E740822" w:rsidR="001B2C27" w:rsidRDefault="001B2C27" w:rsidP="004172EF">
      <w:pPr>
        <w:pStyle w:val="BodyText"/>
        <w:jc w:val="center"/>
        <w:rPr>
          <w:sz w:val="26"/>
        </w:rPr>
      </w:pPr>
    </w:p>
    <w:p w14:paraId="7BA531EF" w14:textId="77777777" w:rsidR="00B30414" w:rsidRDefault="00B30414" w:rsidP="004172EF">
      <w:pPr>
        <w:pStyle w:val="BodyText"/>
        <w:jc w:val="center"/>
        <w:rPr>
          <w:sz w:val="26"/>
        </w:rPr>
      </w:pPr>
    </w:p>
    <w:p w14:paraId="06C64F63" w14:textId="0E2BB1F7" w:rsidR="001B2C27" w:rsidRDefault="00E40FA7" w:rsidP="004172EF">
      <w:pPr>
        <w:pStyle w:val="Heading1"/>
        <w:spacing w:before="212"/>
        <w:ind w:left="0"/>
        <w:jc w:val="center"/>
      </w:pPr>
      <w:r>
        <w:lastRenderedPageBreak/>
        <w:t>Week 1</w:t>
      </w:r>
      <w:r w:rsidR="00CF37DD">
        <w:t>2</w:t>
      </w:r>
      <w:r>
        <w:t xml:space="preserve">, April </w:t>
      </w:r>
      <w:r w:rsidR="00CF37DD">
        <w:t>13</w:t>
      </w:r>
    </w:p>
    <w:p w14:paraId="00E02DC2" w14:textId="70DFCBC3" w:rsidR="001B2C27" w:rsidRDefault="004172EF" w:rsidP="004172EF">
      <w:pPr>
        <w:jc w:val="center"/>
        <w:rPr>
          <w:b/>
        </w:rPr>
      </w:pPr>
      <w:r>
        <w:rPr>
          <w:b/>
        </w:rPr>
        <w:t>Nationalism</w:t>
      </w:r>
      <w:r w:rsidR="00253E8A">
        <w:rPr>
          <w:b/>
        </w:rPr>
        <w:t xml:space="preserve"> and Mobilization</w:t>
      </w:r>
    </w:p>
    <w:p w14:paraId="33482612" w14:textId="77777777" w:rsidR="001B2C27" w:rsidRDefault="001B2C27" w:rsidP="00632C9B">
      <w:pPr>
        <w:pStyle w:val="BodyText"/>
        <w:spacing w:before="7"/>
        <w:rPr>
          <w:b/>
          <w:sz w:val="23"/>
        </w:rPr>
      </w:pPr>
    </w:p>
    <w:p w14:paraId="71E95C06" w14:textId="77777777" w:rsidR="001B2C27" w:rsidRDefault="00253E8A" w:rsidP="00632C9B">
      <w:pPr>
        <w:pStyle w:val="BodyText"/>
      </w:pPr>
      <w:r>
        <w:t xml:space="preserve">Anthony Smith, “Culture, Community, and Territory: The Politics of Ethnicity and Nationalism,” </w:t>
      </w:r>
      <w:r>
        <w:rPr>
          <w:i/>
        </w:rPr>
        <w:t>International Affairs</w:t>
      </w:r>
      <w:r>
        <w:t>, Vol. 72, No. 3, 1996.</w:t>
      </w:r>
    </w:p>
    <w:p w14:paraId="3392E7FE" w14:textId="77777777" w:rsidR="001B2C27" w:rsidRDefault="001B2C27" w:rsidP="00632C9B">
      <w:pPr>
        <w:pStyle w:val="BodyText"/>
      </w:pPr>
    </w:p>
    <w:p w14:paraId="25DAB8F1" w14:textId="7A1C4ECB" w:rsidR="001B2C27" w:rsidRDefault="00CA5EE0" w:rsidP="00632C9B">
      <w:pPr>
        <w:pStyle w:val="BodyText"/>
      </w:pPr>
      <w:r>
        <w:t>Nathalie Duclos, “Joining the Kosovo Liberati</w:t>
      </w:r>
      <w:r w:rsidR="006D171D">
        <w:t>o</w:t>
      </w:r>
      <w:r>
        <w:t xml:space="preserve">n Army: A </w:t>
      </w:r>
      <w:proofErr w:type="spellStart"/>
      <w:r>
        <w:t>Continuist</w:t>
      </w:r>
      <w:proofErr w:type="spellEnd"/>
      <w:r>
        <w:t xml:space="preserve">, Process-Based Analysis,” </w:t>
      </w:r>
      <w:r w:rsidRPr="006D171D">
        <w:rPr>
          <w:i/>
          <w:iCs/>
        </w:rPr>
        <w:t>Violence: An International Journal</w:t>
      </w:r>
      <w:r>
        <w:t>, Vol. 1, No. 1, 2020.</w:t>
      </w:r>
    </w:p>
    <w:p w14:paraId="52F5BBD5" w14:textId="77777777" w:rsidR="001B2C27" w:rsidRDefault="001B2C27" w:rsidP="00632C9B">
      <w:pPr>
        <w:pStyle w:val="BodyText"/>
      </w:pPr>
    </w:p>
    <w:p w14:paraId="3833C2C1" w14:textId="08ECA985" w:rsidR="001B2C27" w:rsidRDefault="004839B5" w:rsidP="00632C9B">
      <w:pPr>
        <w:pStyle w:val="BodyText"/>
      </w:pPr>
      <w:proofErr w:type="spellStart"/>
      <w:r>
        <w:t>Alynna</w:t>
      </w:r>
      <w:proofErr w:type="spellEnd"/>
      <w:r>
        <w:t xml:space="preserve"> </w:t>
      </w:r>
      <w:proofErr w:type="spellStart"/>
      <w:proofErr w:type="gramStart"/>
      <w:r>
        <w:t>J.Lyon</w:t>
      </w:r>
      <w:proofErr w:type="spellEnd"/>
      <w:proofErr w:type="gramEnd"/>
      <w:r>
        <w:t xml:space="preserve"> and </w:t>
      </w:r>
      <w:proofErr w:type="spellStart"/>
      <w:r>
        <w:t>Emek</w:t>
      </w:r>
      <w:proofErr w:type="spellEnd"/>
      <w:r>
        <w:t xml:space="preserve"> </w:t>
      </w:r>
      <w:proofErr w:type="spellStart"/>
      <w:r>
        <w:rPr>
          <w:lang w:val="tr-TR"/>
        </w:rPr>
        <w:t>Uçarer</w:t>
      </w:r>
      <w:proofErr w:type="spellEnd"/>
      <w:r>
        <w:t xml:space="preserve">, “Mobilizing Ethnic Conflict: Kurdish Separatism in Germany and the PKK,” </w:t>
      </w:r>
      <w:r w:rsidRPr="006D171D">
        <w:rPr>
          <w:i/>
          <w:iCs/>
        </w:rPr>
        <w:t>Ethnic and Racial Studies</w:t>
      </w:r>
      <w:r>
        <w:t>, Vol. 24, No. 6, 2001.</w:t>
      </w:r>
    </w:p>
    <w:p w14:paraId="7A301AA5" w14:textId="227B2926" w:rsidR="006707EF" w:rsidRDefault="006707EF" w:rsidP="00632C9B">
      <w:pPr>
        <w:pStyle w:val="BodyText"/>
      </w:pPr>
    </w:p>
    <w:p w14:paraId="69E65E5C" w14:textId="06233BB4" w:rsidR="006707EF" w:rsidRDefault="006707EF" w:rsidP="006707EF">
      <w:r>
        <w:t xml:space="preserve">Donatella </w:t>
      </w:r>
      <w:proofErr w:type="spellStart"/>
      <w:r>
        <w:t>della</w:t>
      </w:r>
      <w:proofErr w:type="spellEnd"/>
      <w:r>
        <w:t xml:space="preserve"> Porta and Martin </w:t>
      </w:r>
      <w:proofErr w:type="spellStart"/>
      <w:r>
        <w:t>Portos</w:t>
      </w:r>
      <w:proofErr w:type="spellEnd"/>
      <w:r>
        <w:t xml:space="preserve">, “A Bourgeois Story? The Class Basis of Catalan </w:t>
      </w:r>
      <w:proofErr w:type="spellStart"/>
      <w:r>
        <w:t>Indepedentism</w:t>
      </w:r>
      <w:proofErr w:type="spellEnd"/>
      <w:r>
        <w:t xml:space="preserve">,” </w:t>
      </w:r>
      <w:r w:rsidRPr="006707EF">
        <w:rPr>
          <w:i/>
          <w:iCs/>
        </w:rPr>
        <w:t>Territory, Politics, Governance</w:t>
      </w:r>
      <w:r>
        <w:t xml:space="preserve">, Vol. 9, No. 3, 2021. </w:t>
      </w:r>
    </w:p>
    <w:p w14:paraId="10B60AF0" w14:textId="32CE428D" w:rsidR="002C1317" w:rsidRDefault="002C1317" w:rsidP="006707EF"/>
    <w:p w14:paraId="2DDBD8E4" w14:textId="61050549" w:rsidR="002C1317" w:rsidRPr="004839B5" w:rsidRDefault="002C1317" w:rsidP="006707EF">
      <w:r>
        <w:t xml:space="preserve">Hank Johnston, “Ritual, Strategy, and Deep Culture in the Chechen National Movement,” </w:t>
      </w:r>
      <w:r w:rsidRPr="00841A6D">
        <w:rPr>
          <w:i/>
          <w:iCs/>
        </w:rPr>
        <w:t>Critical Studies on Terrorism</w:t>
      </w:r>
      <w:r>
        <w:t>, Vol. 1, No. 3, 2008.</w:t>
      </w:r>
    </w:p>
    <w:p w14:paraId="27CF2451" w14:textId="77777777" w:rsidR="00126EE6" w:rsidRDefault="00126EE6" w:rsidP="00632C9B"/>
    <w:p w14:paraId="50B5A77A" w14:textId="35272223" w:rsidR="00126EE6" w:rsidRDefault="00126EE6" w:rsidP="00B30414">
      <w:pPr>
        <w:pStyle w:val="BodyText"/>
      </w:pPr>
      <w:r>
        <w:t xml:space="preserve">Current </w:t>
      </w:r>
      <w:r w:rsidR="00841A6D">
        <w:t>events short analysis piece TBA</w:t>
      </w:r>
    </w:p>
    <w:p w14:paraId="2881ADC2" w14:textId="77777777" w:rsidR="00B30414" w:rsidRDefault="00B30414" w:rsidP="00B30414">
      <w:pPr>
        <w:pStyle w:val="BodyText"/>
      </w:pPr>
    </w:p>
    <w:p w14:paraId="4CEEA83D" w14:textId="77777777" w:rsidR="00B30414" w:rsidRDefault="00B30414" w:rsidP="00B30414">
      <w:pPr>
        <w:pStyle w:val="BodyText"/>
        <w:jc w:val="center"/>
      </w:pPr>
    </w:p>
    <w:p w14:paraId="7AB91355" w14:textId="77777777" w:rsidR="00B30414" w:rsidRDefault="00B30414" w:rsidP="00B30414">
      <w:pPr>
        <w:pStyle w:val="Heading1"/>
        <w:spacing w:before="79"/>
        <w:ind w:left="0"/>
        <w:jc w:val="center"/>
      </w:pPr>
      <w:r>
        <w:t>Week 13, April 20</w:t>
      </w:r>
    </w:p>
    <w:p w14:paraId="2927A8A7" w14:textId="74DBC771" w:rsidR="00B30414" w:rsidRDefault="009E4655" w:rsidP="00B30414">
      <w:pPr>
        <w:jc w:val="center"/>
        <w:rPr>
          <w:b/>
        </w:rPr>
      </w:pPr>
      <w:r>
        <w:rPr>
          <w:b/>
        </w:rPr>
        <w:t>Populism</w:t>
      </w:r>
      <w:r w:rsidR="00841A6D">
        <w:rPr>
          <w:b/>
        </w:rPr>
        <w:t>, Nativism,</w:t>
      </w:r>
      <w:r w:rsidR="00B30414">
        <w:rPr>
          <w:b/>
        </w:rPr>
        <w:t xml:space="preserve"> and Mobilization: The Rise of Far-Right Movements</w:t>
      </w:r>
    </w:p>
    <w:p w14:paraId="1EA1F488" w14:textId="77777777" w:rsidR="00B30414" w:rsidRDefault="00B30414" w:rsidP="00B30414">
      <w:pPr>
        <w:contextualSpacing/>
      </w:pPr>
    </w:p>
    <w:p w14:paraId="462EC818" w14:textId="77777777" w:rsidR="00B30414" w:rsidRPr="004520DE" w:rsidRDefault="00B30414" w:rsidP="00B30414">
      <w:pPr>
        <w:contextualSpacing/>
      </w:pPr>
      <w:r w:rsidRPr="004520DE">
        <w:t xml:space="preserve">Pietro Castelli </w:t>
      </w:r>
      <w:proofErr w:type="spellStart"/>
      <w:r w:rsidRPr="004520DE">
        <w:t>Gattinara</w:t>
      </w:r>
      <w:proofErr w:type="spellEnd"/>
      <w:r w:rsidRPr="004520DE">
        <w:t xml:space="preserve"> and Andrea </w:t>
      </w:r>
      <w:proofErr w:type="spellStart"/>
      <w:r w:rsidRPr="004520DE">
        <w:t>Pirro</w:t>
      </w:r>
      <w:proofErr w:type="spellEnd"/>
      <w:r w:rsidRPr="004520DE">
        <w:t xml:space="preserve">, “The Far Right as Social Movement,” </w:t>
      </w:r>
      <w:r w:rsidRPr="004520DE">
        <w:rPr>
          <w:i/>
        </w:rPr>
        <w:t>European Societies</w:t>
      </w:r>
      <w:r w:rsidRPr="004520DE">
        <w:t>, Vol. 21, No. 4, 2019.</w:t>
      </w:r>
    </w:p>
    <w:p w14:paraId="2B0DA6FE" w14:textId="77777777" w:rsidR="00CC5672" w:rsidRDefault="00CC5672" w:rsidP="00B30414">
      <w:pPr>
        <w:pStyle w:val="BodyText"/>
      </w:pPr>
    </w:p>
    <w:p w14:paraId="5CCAC381" w14:textId="000CB24E" w:rsidR="00B30414" w:rsidRDefault="00B50BC1" w:rsidP="00B30414">
      <w:proofErr w:type="spellStart"/>
      <w:r>
        <w:t>Sieglinde</w:t>
      </w:r>
      <w:proofErr w:type="spellEnd"/>
      <w:r>
        <w:t xml:space="preserve"> Rosenberger and Leila Hadj-Abdou, “Islam at Issue: Anti-Islamic Mobilization of the Extreme Right in Austria,” in Andrea </w:t>
      </w:r>
      <w:proofErr w:type="spellStart"/>
      <w:r>
        <w:t>Mammone</w:t>
      </w:r>
      <w:proofErr w:type="spellEnd"/>
      <w:r>
        <w:t xml:space="preserve">, Emmanuel Godin, and Brian Jenkins, </w:t>
      </w:r>
      <w:r w:rsidRPr="00B50BC1">
        <w:rPr>
          <w:i/>
          <w:iCs/>
        </w:rPr>
        <w:t>Varieties of Right-Wing Extremism in Europe</w:t>
      </w:r>
      <w:r>
        <w:t xml:space="preserve"> (Routledge</w:t>
      </w:r>
      <w:r w:rsidR="00547EA9">
        <w:t>,</w:t>
      </w:r>
      <w:r>
        <w:t xml:space="preserve"> 2012).</w:t>
      </w:r>
    </w:p>
    <w:p w14:paraId="46F33DCF" w14:textId="7C9714EC" w:rsidR="00CC5672" w:rsidRDefault="00CC5672" w:rsidP="00B30414"/>
    <w:p w14:paraId="4B0AA30F" w14:textId="19350AB3" w:rsidR="00CC5672" w:rsidRDefault="00CC5672" w:rsidP="00B30414">
      <w:r>
        <w:t xml:space="preserve">Johannes Due </w:t>
      </w:r>
      <w:proofErr w:type="spellStart"/>
      <w:r>
        <w:t>Enstad</w:t>
      </w:r>
      <w:proofErr w:type="spellEnd"/>
      <w:r>
        <w:t xml:space="preserve">, “‘Glory to Breivik!’: </w:t>
      </w:r>
      <w:r w:rsidR="002929BF">
        <w:t xml:space="preserve">The Russian Far Right and the 2011 Norway Attacks,” </w:t>
      </w:r>
      <w:r w:rsidR="002929BF" w:rsidRPr="002929BF">
        <w:rPr>
          <w:i/>
          <w:iCs/>
        </w:rPr>
        <w:t>Terrorism and Political Violence</w:t>
      </w:r>
      <w:r w:rsidR="002929BF">
        <w:t>, Vol. 29, No. 5, 2017.</w:t>
      </w:r>
    </w:p>
    <w:p w14:paraId="69BB02DA" w14:textId="7BCE9202" w:rsidR="00B30414" w:rsidRDefault="00B30414" w:rsidP="00B30414">
      <w:pPr>
        <w:pStyle w:val="BodyText"/>
      </w:pPr>
    </w:p>
    <w:p w14:paraId="3EC45774" w14:textId="2D9F5BD3" w:rsidR="002929BF" w:rsidRDefault="002929BF" w:rsidP="00B30414">
      <w:pPr>
        <w:pStyle w:val="BodyText"/>
      </w:pPr>
      <w:r w:rsidRPr="004520DE">
        <w:t xml:space="preserve">Pietro Castelli </w:t>
      </w:r>
      <w:proofErr w:type="spellStart"/>
      <w:r w:rsidRPr="004520DE">
        <w:t>Gattinara</w:t>
      </w:r>
      <w:proofErr w:type="spellEnd"/>
      <w:r>
        <w:t xml:space="preserve">, “Europeans, Shut the Borders! Anti-Refugee Mobilization in Italy and France,” in Donatella </w:t>
      </w:r>
      <w:proofErr w:type="spellStart"/>
      <w:r>
        <w:t>della</w:t>
      </w:r>
      <w:proofErr w:type="spellEnd"/>
      <w:r>
        <w:t xml:space="preserve"> Porta (ed.) </w:t>
      </w:r>
      <w:r w:rsidRPr="002929BF">
        <w:rPr>
          <w:i/>
          <w:iCs/>
        </w:rPr>
        <w:t>Solidarity Mobilizations in the ‘Refugee Crisis’</w:t>
      </w:r>
      <w:r>
        <w:t xml:space="preserve"> (Palgrave, 2018).</w:t>
      </w:r>
    </w:p>
    <w:p w14:paraId="55926626" w14:textId="6C6597FE" w:rsidR="008B0BDC" w:rsidRDefault="008B0BDC" w:rsidP="00B30414">
      <w:pPr>
        <w:pStyle w:val="BodyText"/>
      </w:pPr>
    </w:p>
    <w:p w14:paraId="1084E376" w14:textId="0E17EBB0" w:rsidR="008B0BDC" w:rsidRDefault="008B0BDC" w:rsidP="00B30414">
      <w:pPr>
        <w:pStyle w:val="BodyText"/>
      </w:pPr>
      <w:r>
        <w:t xml:space="preserve">Agnieszka </w:t>
      </w:r>
      <w:proofErr w:type="spellStart"/>
      <w:r>
        <w:t>Pasieka</w:t>
      </w:r>
      <w:proofErr w:type="spellEnd"/>
      <w:r>
        <w:t xml:space="preserve">, “In Search of a Cure? Far-Right Youth Activism and the Making of a New Europe,” </w:t>
      </w:r>
      <w:r w:rsidRPr="008B0BDC">
        <w:rPr>
          <w:i/>
          <w:iCs/>
        </w:rPr>
        <w:t>Europe’s Malaise</w:t>
      </w:r>
      <w:r>
        <w:t xml:space="preserve"> (Emerald Publishing Limited, 2020).</w:t>
      </w:r>
    </w:p>
    <w:p w14:paraId="25EF6AA2" w14:textId="77777777" w:rsidR="00B30414" w:rsidRDefault="00B30414" w:rsidP="00B30414">
      <w:pPr>
        <w:pStyle w:val="BodyText"/>
      </w:pPr>
    </w:p>
    <w:p w14:paraId="6CDA7E33" w14:textId="77777777" w:rsidR="00B30414" w:rsidRDefault="00B30414" w:rsidP="00B30414">
      <w:pPr>
        <w:pStyle w:val="BodyText"/>
      </w:pPr>
      <w:r>
        <w:t xml:space="preserve">Clara Hendrickson and William </w:t>
      </w:r>
      <w:proofErr w:type="spellStart"/>
      <w:r>
        <w:t>Galston</w:t>
      </w:r>
      <w:proofErr w:type="spellEnd"/>
      <w:r>
        <w:t xml:space="preserve">, “Why Are Populists Winning Online?” </w:t>
      </w:r>
      <w:proofErr w:type="gramStart"/>
      <w:r>
        <w:t>Brookings</w:t>
      </w:r>
      <w:proofErr w:type="gramEnd"/>
      <w:r>
        <w:t xml:space="preserve"> report, 28 April 2017: </w:t>
      </w:r>
      <w:r w:rsidRPr="002B0DCE">
        <w:t>https://www.brookings.edu/blog/techtank/2017/04/28/why-are-populists-winning-online-social-media-reinforces-their-anti-establishment-message</w:t>
      </w:r>
      <w:r>
        <w:t>.</w:t>
      </w:r>
    </w:p>
    <w:p w14:paraId="152850F5" w14:textId="77777777" w:rsidR="00B30414" w:rsidRDefault="00B30414" w:rsidP="00B30414">
      <w:pPr>
        <w:pStyle w:val="BodyText"/>
      </w:pPr>
    </w:p>
    <w:p w14:paraId="46B6862B" w14:textId="77777777" w:rsidR="00B30414" w:rsidRDefault="00B30414" w:rsidP="00B30414">
      <w:pPr>
        <w:pStyle w:val="BodyText"/>
      </w:pPr>
    </w:p>
    <w:p w14:paraId="6345FE2E" w14:textId="46B97BC8" w:rsidR="00B30414" w:rsidRDefault="00B30414" w:rsidP="008B0BDC">
      <w:pPr>
        <w:pStyle w:val="BodyText"/>
        <w:jc w:val="center"/>
      </w:pPr>
    </w:p>
    <w:p w14:paraId="54CE8504" w14:textId="77777777" w:rsidR="008B0BDC" w:rsidRDefault="008B0BDC" w:rsidP="008B0BDC">
      <w:pPr>
        <w:pStyle w:val="BodyText"/>
        <w:jc w:val="center"/>
      </w:pPr>
    </w:p>
    <w:p w14:paraId="0F350D65" w14:textId="77777777" w:rsidR="00B30414" w:rsidRDefault="00B30414" w:rsidP="00B30414">
      <w:pPr>
        <w:pStyle w:val="Heading1"/>
        <w:ind w:left="0"/>
        <w:jc w:val="center"/>
      </w:pPr>
      <w:r>
        <w:lastRenderedPageBreak/>
        <w:t>Week 14, April 27</w:t>
      </w:r>
    </w:p>
    <w:p w14:paraId="014F97A3" w14:textId="77777777" w:rsidR="00B30414" w:rsidRDefault="00B30414" w:rsidP="00B30414">
      <w:pPr>
        <w:pStyle w:val="Heading1"/>
        <w:ind w:left="0"/>
        <w:jc w:val="center"/>
      </w:pPr>
      <w:r>
        <w:t>Paper Workshop</w:t>
      </w:r>
    </w:p>
    <w:p w14:paraId="657907AD" w14:textId="77777777" w:rsidR="00B30414" w:rsidRDefault="00B30414" w:rsidP="00B30414">
      <w:pPr>
        <w:pStyle w:val="BodyText"/>
        <w:ind w:firstLine="720"/>
        <w:jc w:val="center"/>
      </w:pPr>
      <w:r>
        <w:t>Students will give a five-minute presentation of their final paper topic to the whole class, and then will receive feedback and ideas for finalizing research, refining</w:t>
      </w:r>
    </w:p>
    <w:p w14:paraId="6F287247" w14:textId="77777777" w:rsidR="00B30414" w:rsidRDefault="00B30414" w:rsidP="00B30414">
      <w:pPr>
        <w:pStyle w:val="BodyText"/>
        <w:jc w:val="center"/>
      </w:pPr>
      <w:r>
        <w:t>their argument, and structuring their final papers from Prof. Hintz and the rest of the class.</w:t>
      </w:r>
    </w:p>
    <w:p w14:paraId="7DB511D0" w14:textId="77777777" w:rsidR="00B30414" w:rsidRDefault="00B30414" w:rsidP="00B30414">
      <w:pPr>
        <w:pStyle w:val="BodyText"/>
        <w:rPr>
          <w:sz w:val="26"/>
        </w:rPr>
      </w:pPr>
    </w:p>
    <w:p w14:paraId="26795ADD" w14:textId="77777777" w:rsidR="00B30414" w:rsidRDefault="00B30414" w:rsidP="00B30414">
      <w:pPr>
        <w:pStyle w:val="BodyText"/>
        <w:spacing w:before="2"/>
        <w:rPr>
          <w:sz w:val="22"/>
        </w:rPr>
      </w:pPr>
    </w:p>
    <w:p w14:paraId="50B0F5B1" w14:textId="17BC321C" w:rsidR="00B30414" w:rsidRDefault="00B30414" w:rsidP="000C6EE9">
      <w:pPr>
        <w:pStyle w:val="Heading1"/>
        <w:ind w:left="0"/>
        <w:jc w:val="center"/>
        <w:sectPr w:rsidR="00B30414">
          <w:pgSz w:w="12240" w:h="15840"/>
          <w:pgMar w:top="1360" w:right="1620" w:bottom="980" w:left="1680" w:header="0" w:footer="791" w:gutter="0"/>
          <w:cols w:space="720"/>
        </w:sectPr>
      </w:pPr>
      <w:r>
        <w:t>Final papers due at noon on Friday May 6 via Turnitin</w:t>
      </w:r>
    </w:p>
    <w:p w14:paraId="7C87C391" w14:textId="701F346F" w:rsidR="001B2C27" w:rsidRDefault="001B2C27" w:rsidP="000C6EE9">
      <w:pPr>
        <w:pStyle w:val="Heading1"/>
        <w:ind w:left="0"/>
      </w:pPr>
    </w:p>
    <w:sectPr w:rsidR="001B2C27">
      <w:pgSz w:w="12240" w:h="15840"/>
      <w:pgMar w:top="1500" w:right="1620" w:bottom="980" w:left="16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11E1" w14:textId="77777777" w:rsidR="00EB65A6" w:rsidRDefault="00EB65A6">
      <w:r>
        <w:separator/>
      </w:r>
    </w:p>
  </w:endnote>
  <w:endnote w:type="continuationSeparator" w:id="0">
    <w:p w14:paraId="15CD6F15" w14:textId="77777777" w:rsidR="00EB65A6" w:rsidRDefault="00EB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3A07" w14:textId="5B46F257" w:rsidR="00274B05" w:rsidRDefault="00274B0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4F2FE8D" wp14:editId="1A6978AB">
              <wp:simplePos x="0" y="0"/>
              <wp:positionH relativeFrom="page">
                <wp:posOffset>3784600</wp:posOffset>
              </wp:positionH>
              <wp:positionV relativeFrom="page">
                <wp:posOffset>9415780</wp:posOffset>
              </wp:positionV>
              <wp:extent cx="203200" cy="194310"/>
              <wp:effectExtent l="0" t="508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1C4770" w14:textId="77777777" w:rsidR="00274B05" w:rsidRDefault="00274B05">
                          <w:pPr>
                            <w:pStyle w:val="BodyText"/>
                            <w:spacing w:before="10"/>
                            <w:ind w:left="40"/>
                          </w:pPr>
                          <w:r>
                            <w:fldChar w:fldCharType="begin"/>
                          </w:r>
                          <w:r>
                            <w:instrText xml:space="preserve"> PAGE </w:instrText>
                          </w:r>
                          <w:r>
                            <w:fldChar w:fldCharType="separate"/>
                          </w:r>
                          <w:r w:rsidR="00E8532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2FE8D" id="_x0000_t202" coordsize="21600,21600" o:spt="202" path="m,l,21600r21600,l21600,xe">
              <v:stroke joinstyle="miter"/>
              <v:path gradientshapeok="t" o:connecttype="rect"/>
            </v:shapetype>
            <v:shape id="Text Box 1" o:spid="_x0000_s1026" type="#_x0000_t202" style="position:absolute;margin-left:298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" filled="f" stroked="f">
              <v:textbox inset="0,0,0,0">
                <w:txbxContent>
                  <w:p w14:paraId="091C4770" w14:textId="77777777" w:rsidR="00274B05" w:rsidRDefault="00274B05">
                    <w:pPr>
                      <w:pStyle w:val="BodyText"/>
                      <w:spacing w:before="10"/>
                      <w:ind w:left="40"/>
                    </w:pPr>
                    <w:r>
                      <w:fldChar w:fldCharType="begin"/>
                    </w:r>
                    <w:r>
                      <w:instrText xml:space="preserve"> PAGE </w:instrText>
                    </w:r>
                    <w:r>
                      <w:fldChar w:fldCharType="separate"/>
                    </w:r>
                    <w:r w:rsidR="00E8532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04EB" w14:textId="77777777" w:rsidR="00EB65A6" w:rsidRDefault="00EB65A6">
      <w:r>
        <w:separator/>
      </w:r>
    </w:p>
  </w:footnote>
  <w:footnote w:type="continuationSeparator" w:id="0">
    <w:p w14:paraId="56A0F3E1" w14:textId="77777777" w:rsidR="00EB65A6" w:rsidRDefault="00EB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482"/>
    <w:multiLevelType w:val="hybridMultilevel"/>
    <w:tmpl w:val="EA66F260"/>
    <w:lvl w:ilvl="0" w:tplc="E506AFBA">
      <w:start w:val="1"/>
      <w:numFmt w:val="decimal"/>
      <w:lvlText w:val="%1."/>
      <w:lvlJc w:val="left"/>
      <w:pPr>
        <w:ind w:left="360" w:hanging="240"/>
        <w:jc w:val="left"/>
      </w:pPr>
      <w:rPr>
        <w:rFonts w:hint="default"/>
        <w:b/>
        <w:bCs/>
        <w:spacing w:val="-3"/>
        <w:w w:val="99"/>
        <w:lang w:val="en-US" w:eastAsia="en-US" w:bidi="en-US"/>
      </w:rPr>
    </w:lvl>
    <w:lvl w:ilvl="1" w:tplc="27D0B1F2">
      <w:numFmt w:val="bullet"/>
      <w:lvlText w:val=""/>
      <w:lvlJc w:val="left"/>
      <w:pPr>
        <w:ind w:left="840" w:hanging="360"/>
      </w:pPr>
      <w:rPr>
        <w:rFonts w:ascii="Symbol" w:eastAsia="Symbol" w:hAnsi="Symbol" w:cs="Symbol" w:hint="default"/>
        <w:w w:val="99"/>
        <w:sz w:val="20"/>
        <w:szCs w:val="20"/>
        <w:lang w:val="en-US" w:eastAsia="en-US" w:bidi="en-US"/>
      </w:rPr>
    </w:lvl>
    <w:lvl w:ilvl="2" w:tplc="34702236">
      <w:numFmt w:val="bullet"/>
      <w:lvlText w:val="•"/>
      <w:lvlJc w:val="left"/>
      <w:pPr>
        <w:ind w:left="1740" w:hanging="360"/>
      </w:pPr>
      <w:rPr>
        <w:rFonts w:hint="default"/>
        <w:lang w:val="en-US" w:eastAsia="en-US" w:bidi="en-US"/>
      </w:rPr>
    </w:lvl>
    <w:lvl w:ilvl="3" w:tplc="B2E4862C">
      <w:numFmt w:val="bullet"/>
      <w:lvlText w:val="•"/>
      <w:lvlJc w:val="left"/>
      <w:pPr>
        <w:ind w:left="2640" w:hanging="360"/>
      </w:pPr>
      <w:rPr>
        <w:rFonts w:hint="default"/>
        <w:lang w:val="en-US" w:eastAsia="en-US" w:bidi="en-US"/>
      </w:rPr>
    </w:lvl>
    <w:lvl w:ilvl="4" w:tplc="AF4220F6">
      <w:numFmt w:val="bullet"/>
      <w:lvlText w:val="•"/>
      <w:lvlJc w:val="left"/>
      <w:pPr>
        <w:ind w:left="3540" w:hanging="360"/>
      </w:pPr>
      <w:rPr>
        <w:rFonts w:hint="default"/>
        <w:lang w:val="en-US" w:eastAsia="en-US" w:bidi="en-US"/>
      </w:rPr>
    </w:lvl>
    <w:lvl w:ilvl="5" w:tplc="D8CCB02E">
      <w:numFmt w:val="bullet"/>
      <w:lvlText w:val="•"/>
      <w:lvlJc w:val="left"/>
      <w:pPr>
        <w:ind w:left="4440" w:hanging="360"/>
      </w:pPr>
      <w:rPr>
        <w:rFonts w:hint="default"/>
        <w:lang w:val="en-US" w:eastAsia="en-US" w:bidi="en-US"/>
      </w:rPr>
    </w:lvl>
    <w:lvl w:ilvl="6" w:tplc="474C8462">
      <w:numFmt w:val="bullet"/>
      <w:lvlText w:val="•"/>
      <w:lvlJc w:val="left"/>
      <w:pPr>
        <w:ind w:left="5340" w:hanging="360"/>
      </w:pPr>
      <w:rPr>
        <w:rFonts w:hint="default"/>
        <w:lang w:val="en-US" w:eastAsia="en-US" w:bidi="en-US"/>
      </w:rPr>
    </w:lvl>
    <w:lvl w:ilvl="7" w:tplc="392E153E">
      <w:numFmt w:val="bullet"/>
      <w:lvlText w:val="•"/>
      <w:lvlJc w:val="left"/>
      <w:pPr>
        <w:ind w:left="6240" w:hanging="360"/>
      </w:pPr>
      <w:rPr>
        <w:rFonts w:hint="default"/>
        <w:lang w:val="en-US" w:eastAsia="en-US" w:bidi="en-US"/>
      </w:rPr>
    </w:lvl>
    <w:lvl w:ilvl="8" w:tplc="414085AA">
      <w:numFmt w:val="bullet"/>
      <w:lvlText w:val="•"/>
      <w:lvlJc w:val="left"/>
      <w:pPr>
        <w:ind w:left="7140" w:hanging="360"/>
      </w:pPr>
      <w:rPr>
        <w:rFonts w:hint="default"/>
        <w:lang w:val="en-US" w:eastAsia="en-US" w:bidi="en-US"/>
      </w:rPr>
    </w:lvl>
  </w:abstractNum>
  <w:abstractNum w:abstractNumId="1" w15:restartNumberingAfterBreak="0">
    <w:nsid w:val="572A31E5"/>
    <w:multiLevelType w:val="hybridMultilevel"/>
    <w:tmpl w:val="8480C43C"/>
    <w:lvl w:ilvl="0" w:tplc="FEACBA0A">
      <w:start w:val="13"/>
      <w:numFmt w:val="bullet"/>
      <w:lvlText w:val=""/>
      <w:lvlJc w:val="left"/>
      <w:pPr>
        <w:ind w:left="720" w:hanging="360"/>
      </w:pPr>
      <w:rPr>
        <w:rFonts w:ascii="Symbol" w:eastAsia="SimSun" w:hAnsi="Symbol" w:cs="Courier"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27"/>
    <w:rsid w:val="00022E6D"/>
    <w:rsid w:val="0002589F"/>
    <w:rsid w:val="00032754"/>
    <w:rsid w:val="00074422"/>
    <w:rsid w:val="000945D1"/>
    <w:rsid w:val="000A27FB"/>
    <w:rsid w:val="000C6EE9"/>
    <w:rsid w:val="00114A9D"/>
    <w:rsid w:val="00126EE6"/>
    <w:rsid w:val="00134CD8"/>
    <w:rsid w:val="00134E84"/>
    <w:rsid w:val="00153079"/>
    <w:rsid w:val="0017373E"/>
    <w:rsid w:val="001B2BC8"/>
    <w:rsid w:val="001B2C27"/>
    <w:rsid w:val="001D0E68"/>
    <w:rsid w:val="00200B66"/>
    <w:rsid w:val="00243D6B"/>
    <w:rsid w:val="00253E8A"/>
    <w:rsid w:val="00260FA6"/>
    <w:rsid w:val="00274B05"/>
    <w:rsid w:val="00282908"/>
    <w:rsid w:val="002870F3"/>
    <w:rsid w:val="002929BF"/>
    <w:rsid w:val="002A2E0A"/>
    <w:rsid w:val="002B2832"/>
    <w:rsid w:val="002C1317"/>
    <w:rsid w:val="002D67D1"/>
    <w:rsid w:val="002D7E13"/>
    <w:rsid w:val="003266BC"/>
    <w:rsid w:val="003427A6"/>
    <w:rsid w:val="00350C11"/>
    <w:rsid w:val="00390F76"/>
    <w:rsid w:val="00391E27"/>
    <w:rsid w:val="003B3125"/>
    <w:rsid w:val="003B79FD"/>
    <w:rsid w:val="003D18EE"/>
    <w:rsid w:val="004148E8"/>
    <w:rsid w:val="004172EF"/>
    <w:rsid w:val="004520DE"/>
    <w:rsid w:val="0048111E"/>
    <w:rsid w:val="004839B5"/>
    <w:rsid w:val="00496E1C"/>
    <w:rsid w:val="004973C0"/>
    <w:rsid w:val="004F489B"/>
    <w:rsid w:val="0050298F"/>
    <w:rsid w:val="00507C04"/>
    <w:rsid w:val="00537697"/>
    <w:rsid w:val="0053772C"/>
    <w:rsid w:val="00540B07"/>
    <w:rsid w:val="00547EA9"/>
    <w:rsid w:val="00553295"/>
    <w:rsid w:val="00564E48"/>
    <w:rsid w:val="00567D9A"/>
    <w:rsid w:val="00592F38"/>
    <w:rsid w:val="005A0C6F"/>
    <w:rsid w:val="005C06F3"/>
    <w:rsid w:val="005C5F9E"/>
    <w:rsid w:val="00632C9B"/>
    <w:rsid w:val="0065502E"/>
    <w:rsid w:val="006707EF"/>
    <w:rsid w:val="00683631"/>
    <w:rsid w:val="006A6535"/>
    <w:rsid w:val="006B6271"/>
    <w:rsid w:val="006D171D"/>
    <w:rsid w:val="007170AA"/>
    <w:rsid w:val="00727EE2"/>
    <w:rsid w:val="00772C47"/>
    <w:rsid w:val="007A0411"/>
    <w:rsid w:val="007A5524"/>
    <w:rsid w:val="007A5AB3"/>
    <w:rsid w:val="007B5F95"/>
    <w:rsid w:val="007D3A9E"/>
    <w:rsid w:val="007E0B4F"/>
    <w:rsid w:val="007F22CE"/>
    <w:rsid w:val="007F7B08"/>
    <w:rsid w:val="008133D3"/>
    <w:rsid w:val="00835DB5"/>
    <w:rsid w:val="00841A6D"/>
    <w:rsid w:val="0085433D"/>
    <w:rsid w:val="00860B11"/>
    <w:rsid w:val="00872D26"/>
    <w:rsid w:val="00885033"/>
    <w:rsid w:val="008917F0"/>
    <w:rsid w:val="008A2C61"/>
    <w:rsid w:val="008A602C"/>
    <w:rsid w:val="008B0BDC"/>
    <w:rsid w:val="008B3791"/>
    <w:rsid w:val="008F0081"/>
    <w:rsid w:val="00920E51"/>
    <w:rsid w:val="00953DE2"/>
    <w:rsid w:val="009675D6"/>
    <w:rsid w:val="00992444"/>
    <w:rsid w:val="0099287D"/>
    <w:rsid w:val="009E4655"/>
    <w:rsid w:val="009F0DB7"/>
    <w:rsid w:val="00A417FB"/>
    <w:rsid w:val="00AB4614"/>
    <w:rsid w:val="00AC6047"/>
    <w:rsid w:val="00AD023C"/>
    <w:rsid w:val="00AD1220"/>
    <w:rsid w:val="00AE4B3C"/>
    <w:rsid w:val="00B273FE"/>
    <w:rsid w:val="00B30414"/>
    <w:rsid w:val="00B50BC1"/>
    <w:rsid w:val="00B5452A"/>
    <w:rsid w:val="00B57FF8"/>
    <w:rsid w:val="00B70D99"/>
    <w:rsid w:val="00B71950"/>
    <w:rsid w:val="00B74E36"/>
    <w:rsid w:val="00B817DA"/>
    <w:rsid w:val="00BA2341"/>
    <w:rsid w:val="00BB7D3A"/>
    <w:rsid w:val="00BE3A2E"/>
    <w:rsid w:val="00BF2499"/>
    <w:rsid w:val="00BF33EB"/>
    <w:rsid w:val="00C13B06"/>
    <w:rsid w:val="00C43736"/>
    <w:rsid w:val="00C95F6F"/>
    <w:rsid w:val="00CA5EE0"/>
    <w:rsid w:val="00CA6D0E"/>
    <w:rsid w:val="00CC42EE"/>
    <w:rsid w:val="00CC5672"/>
    <w:rsid w:val="00CD24C0"/>
    <w:rsid w:val="00CF37DD"/>
    <w:rsid w:val="00CF7223"/>
    <w:rsid w:val="00D024D7"/>
    <w:rsid w:val="00D12B7C"/>
    <w:rsid w:val="00D82C1D"/>
    <w:rsid w:val="00D847C6"/>
    <w:rsid w:val="00DA7B44"/>
    <w:rsid w:val="00DC1511"/>
    <w:rsid w:val="00DD5787"/>
    <w:rsid w:val="00E40FA7"/>
    <w:rsid w:val="00E54D83"/>
    <w:rsid w:val="00E85325"/>
    <w:rsid w:val="00EB0967"/>
    <w:rsid w:val="00EB65A6"/>
    <w:rsid w:val="00EB7971"/>
    <w:rsid w:val="00EE1AD1"/>
    <w:rsid w:val="00EF4232"/>
    <w:rsid w:val="00F16B6D"/>
    <w:rsid w:val="00F2046C"/>
    <w:rsid w:val="00F51FCA"/>
    <w:rsid w:val="00FB45E7"/>
    <w:rsid w:val="00FD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E8D60"/>
  <w15:docId w15:val="{C393DF2A-96D2-D444-9CFD-A0FB03BA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17FB"/>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2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34"/>
    <w:qFormat/>
    <w:pPr>
      <w:widowControl w:val="0"/>
      <w:autoSpaceDE w:val="0"/>
      <w:autoSpaceDN w:val="0"/>
      <w:ind w:left="840" w:hanging="36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character" w:styleId="Hyperlink">
    <w:name w:val="Hyperlink"/>
    <w:basedOn w:val="DefaultParagraphFont"/>
    <w:uiPriority w:val="99"/>
    <w:unhideWhenUsed/>
    <w:rsid w:val="00E54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57">
      <w:bodyDiv w:val="1"/>
      <w:marLeft w:val="0"/>
      <w:marRight w:val="0"/>
      <w:marTop w:val="0"/>
      <w:marBottom w:val="0"/>
      <w:divBdr>
        <w:top w:val="none" w:sz="0" w:space="0" w:color="auto"/>
        <w:left w:val="none" w:sz="0" w:space="0" w:color="auto"/>
        <w:bottom w:val="none" w:sz="0" w:space="0" w:color="auto"/>
        <w:right w:val="none" w:sz="0" w:space="0" w:color="auto"/>
      </w:divBdr>
    </w:div>
    <w:div w:id="40596726">
      <w:bodyDiv w:val="1"/>
      <w:marLeft w:val="0"/>
      <w:marRight w:val="0"/>
      <w:marTop w:val="0"/>
      <w:marBottom w:val="0"/>
      <w:divBdr>
        <w:top w:val="none" w:sz="0" w:space="0" w:color="auto"/>
        <w:left w:val="none" w:sz="0" w:space="0" w:color="auto"/>
        <w:bottom w:val="none" w:sz="0" w:space="0" w:color="auto"/>
        <w:right w:val="none" w:sz="0" w:space="0" w:color="auto"/>
      </w:divBdr>
    </w:div>
    <w:div w:id="700320386">
      <w:bodyDiv w:val="1"/>
      <w:marLeft w:val="0"/>
      <w:marRight w:val="0"/>
      <w:marTop w:val="0"/>
      <w:marBottom w:val="0"/>
      <w:divBdr>
        <w:top w:val="none" w:sz="0" w:space="0" w:color="auto"/>
        <w:left w:val="none" w:sz="0" w:space="0" w:color="auto"/>
        <w:bottom w:val="none" w:sz="0" w:space="0" w:color="auto"/>
        <w:right w:val="none" w:sz="0" w:space="0" w:color="auto"/>
      </w:divBdr>
    </w:div>
    <w:div w:id="845479974">
      <w:bodyDiv w:val="1"/>
      <w:marLeft w:val="0"/>
      <w:marRight w:val="0"/>
      <w:marTop w:val="0"/>
      <w:marBottom w:val="0"/>
      <w:divBdr>
        <w:top w:val="none" w:sz="0" w:space="0" w:color="auto"/>
        <w:left w:val="none" w:sz="0" w:space="0" w:color="auto"/>
        <w:bottom w:val="none" w:sz="0" w:space="0" w:color="auto"/>
        <w:right w:val="none" w:sz="0" w:space="0" w:color="auto"/>
      </w:divBdr>
    </w:div>
    <w:div w:id="1026754816">
      <w:bodyDiv w:val="1"/>
      <w:marLeft w:val="0"/>
      <w:marRight w:val="0"/>
      <w:marTop w:val="0"/>
      <w:marBottom w:val="0"/>
      <w:divBdr>
        <w:top w:val="none" w:sz="0" w:space="0" w:color="auto"/>
        <w:left w:val="none" w:sz="0" w:space="0" w:color="auto"/>
        <w:bottom w:val="none" w:sz="0" w:space="0" w:color="auto"/>
        <w:right w:val="none" w:sz="0" w:space="0" w:color="auto"/>
      </w:divBdr>
    </w:div>
    <w:div w:id="1064790850">
      <w:bodyDiv w:val="1"/>
      <w:marLeft w:val="0"/>
      <w:marRight w:val="0"/>
      <w:marTop w:val="0"/>
      <w:marBottom w:val="0"/>
      <w:divBdr>
        <w:top w:val="none" w:sz="0" w:space="0" w:color="auto"/>
        <w:left w:val="none" w:sz="0" w:space="0" w:color="auto"/>
        <w:bottom w:val="none" w:sz="0" w:space="0" w:color="auto"/>
        <w:right w:val="none" w:sz="0" w:space="0" w:color="auto"/>
      </w:divBdr>
    </w:div>
    <w:div w:id="201792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s-jhu.edu/atoz/academic-procedures-manua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80/1060586X.2022.2026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Inderfurth</dc:creator>
  <cp:lastModifiedBy>Microsoft Office User</cp:lastModifiedBy>
  <cp:revision>16</cp:revision>
  <dcterms:created xsi:type="dcterms:W3CDTF">2022-01-13T18:34:00Z</dcterms:created>
  <dcterms:modified xsi:type="dcterms:W3CDTF">2022-01-24T15:02:00Z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Acrobat PDFMaker 11 for Word</vt:lpwstr>
  </property>
  <property fmtid="{D5CDD505-2E9C-101B-9397-08002B2CF9AE}" pid="4" name="LastSaved">
    <vt:filetime>2019-02-05T00:00:00Z</vt:filetime>
  </property>
</Properties>
</file>